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34" w:rsidRPr="00951F52" w:rsidRDefault="00492A34" w:rsidP="00492A34">
      <w:pPr>
        <w:jc w:val="center"/>
        <w:rPr>
          <w:rFonts w:cstheme="minorHAnsi"/>
          <w:b/>
          <w:bCs/>
        </w:rPr>
      </w:pPr>
      <w:r>
        <w:rPr>
          <w:rFonts w:cstheme="minorHAnsi"/>
          <w:b/>
          <w:bCs/>
        </w:rPr>
        <w:t>RETAIL BANKING &amp; WEALTH MANAGEMENT</w:t>
      </w:r>
    </w:p>
    <w:tbl>
      <w:tblPr>
        <w:tblStyle w:val="TableGrid"/>
        <w:tblW w:w="0" w:type="auto"/>
        <w:tblLook w:val="04A0" w:firstRow="1" w:lastRow="0" w:firstColumn="1" w:lastColumn="0" w:noHBand="0" w:noVBand="1"/>
      </w:tblPr>
      <w:tblGrid>
        <w:gridCol w:w="988"/>
        <w:gridCol w:w="8028"/>
      </w:tblGrid>
      <w:tr w:rsidR="00492A34" w:rsidRPr="00951F52" w:rsidTr="00DE3527">
        <w:tc>
          <w:tcPr>
            <w:tcW w:w="988" w:type="dxa"/>
          </w:tcPr>
          <w:p w:rsidR="00492A34" w:rsidRPr="00951F52" w:rsidRDefault="00492A34" w:rsidP="00DE3527">
            <w:r w:rsidRPr="00951F52">
              <w:rPr>
                <w:rFonts w:eastAsia="Times New Roman" w:cstheme="minorHAnsi"/>
                <w:b/>
                <w:bCs/>
                <w:color w:val="000000"/>
                <w:lang w:eastAsia="en-IN"/>
              </w:rPr>
              <w:t>Sr. No.</w:t>
            </w:r>
          </w:p>
        </w:tc>
        <w:tc>
          <w:tcPr>
            <w:tcW w:w="8028" w:type="dxa"/>
          </w:tcPr>
          <w:p w:rsidR="00492A34" w:rsidRPr="00951F52" w:rsidRDefault="00492A34" w:rsidP="00DE3527">
            <w:r w:rsidRPr="00951F52">
              <w:rPr>
                <w:rFonts w:eastAsia="Times New Roman" w:cstheme="minorHAnsi"/>
                <w:b/>
                <w:bCs/>
                <w:color w:val="000000"/>
                <w:lang w:eastAsia="en-IN"/>
              </w:rPr>
              <w:t>Important Notifications</w:t>
            </w:r>
          </w:p>
        </w:tc>
      </w:tr>
      <w:tr w:rsidR="00492A34" w:rsidRPr="00951F52" w:rsidTr="00DE3527">
        <w:tc>
          <w:tcPr>
            <w:tcW w:w="988" w:type="dxa"/>
          </w:tcPr>
          <w:p w:rsidR="00492A34" w:rsidRPr="00951F52" w:rsidRDefault="00492A34" w:rsidP="00DE3527">
            <w:r w:rsidRPr="00951F52">
              <w:t>1</w:t>
            </w:r>
          </w:p>
        </w:tc>
        <w:tc>
          <w:tcPr>
            <w:tcW w:w="8028" w:type="dxa"/>
          </w:tcPr>
          <w:p w:rsidR="00492A34" w:rsidRPr="00C043AC" w:rsidRDefault="00C662FA" w:rsidP="00DE3527">
            <w:pPr>
              <w:rPr>
                <w:rFonts w:ascii="Calibri" w:hAnsi="Calibri" w:cs="Calibri"/>
                <w:color w:val="000000"/>
              </w:rPr>
            </w:pPr>
            <w:r>
              <w:rPr>
                <w:rFonts w:ascii="Calibri" w:hAnsi="Calibri" w:cs="Calibri"/>
                <w:color w:val="000000"/>
              </w:rPr>
              <w:t>Inoperative Accounts /Unclaimed Deposits in Banks- Revised Instructions</w:t>
            </w:r>
          </w:p>
        </w:tc>
      </w:tr>
      <w:tr w:rsidR="00492A34" w:rsidRPr="00951F52" w:rsidTr="00DE3527">
        <w:tc>
          <w:tcPr>
            <w:tcW w:w="988" w:type="dxa"/>
          </w:tcPr>
          <w:p w:rsidR="00492A34" w:rsidRPr="00951F52" w:rsidRDefault="00492A34" w:rsidP="00DE3527">
            <w:r w:rsidRPr="00951F52">
              <w:t>2</w:t>
            </w:r>
          </w:p>
        </w:tc>
        <w:tc>
          <w:tcPr>
            <w:tcW w:w="8028" w:type="dxa"/>
          </w:tcPr>
          <w:p w:rsidR="00492A34" w:rsidRPr="00C043AC" w:rsidRDefault="00C662FA" w:rsidP="00DE3527">
            <w:pPr>
              <w:rPr>
                <w:rFonts w:ascii="Calibri" w:hAnsi="Calibri" w:cs="Calibri"/>
                <w:color w:val="000000"/>
              </w:rPr>
            </w:pPr>
            <w:r>
              <w:rPr>
                <w:rFonts w:ascii="Calibri" w:hAnsi="Calibri" w:cs="Calibri"/>
                <w:color w:val="000000"/>
              </w:rPr>
              <w:t>Amendment to the Master Direction (MD) on KYC</w:t>
            </w:r>
          </w:p>
        </w:tc>
      </w:tr>
      <w:tr w:rsidR="00492A34" w:rsidRPr="00951F52" w:rsidTr="00DE3527">
        <w:tc>
          <w:tcPr>
            <w:tcW w:w="988" w:type="dxa"/>
          </w:tcPr>
          <w:p w:rsidR="00492A34" w:rsidRPr="00951F52" w:rsidRDefault="00492A34" w:rsidP="00DE3527">
            <w:r w:rsidRPr="00951F52">
              <w:t>3</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Credit/Investment Concentration Norms – Credit Risk Transfer</w:t>
            </w:r>
          </w:p>
        </w:tc>
      </w:tr>
      <w:tr w:rsidR="00492A34" w:rsidRPr="00951F52" w:rsidTr="00DE3527">
        <w:tc>
          <w:tcPr>
            <w:tcW w:w="988" w:type="dxa"/>
          </w:tcPr>
          <w:p w:rsidR="00492A34" w:rsidRPr="00951F52" w:rsidRDefault="00492A34" w:rsidP="00DE3527">
            <w:r w:rsidRPr="00951F52">
              <w:t>4</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Amendment to Master Direction on Prepaid Payment Instruments</w:t>
            </w:r>
          </w:p>
        </w:tc>
      </w:tr>
      <w:tr w:rsidR="00492A34" w:rsidRPr="00951F52" w:rsidTr="00DE3527">
        <w:tc>
          <w:tcPr>
            <w:tcW w:w="988" w:type="dxa"/>
          </w:tcPr>
          <w:p w:rsidR="00492A34" w:rsidRPr="00951F52" w:rsidRDefault="00492A34" w:rsidP="00DE3527">
            <w:r w:rsidRPr="00951F52">
              <w:t>5</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Arrangements with Card Networks for issue of Credit Cards</w:t>
            </w:r>
          </w:p>
        </w:tc>
      </w:tr>
      <w:tr w:rsidR="00492A34" w:rsidRPr="00951F52" w:rsidTr="00DE3527">
        <w:tc>
          <w:tcPr>
            <w:tcW w:w="988" w:type="dxa"/>
          </w:tcPr>
          <w:p w:rsidR="00492A34" w:rsidRPr="00951F52" w:rsidRDefault="00492A34" w:rsidP="00DE3527">
            <w:r w:rsidRPr="00951F52">
              <w:t>6</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Amendment to the Master Direction - Credit Card and Debit Card – Issuance and Conduct Directions, 2022</w:t>
            </w:r>
          </w:p>
        </w:tc>
      </w:tr>
      <w:tr w:rsidR="00492A34" w:rsidRPr="00951F52" w:rsidTr="00DE3527">
        <w:tc>
          <w:tcPr>
            <w:tcW w:w="988" w:type="dxa"/>
          </w:tcPr>
          <w:p w:rsidR="00492A34" w:rsidRPr="00951F52" w:rsidRDefault="00492A34" w:rsidP="00DE3527">
            <w:r w:rsidRPr="00951F52">
              <w:t>7</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Master Direction – Scheme of Penalties for bank branches and Currency Chests for deficiency in rendering customer service to the members of public</w:t>
            </w:r>
          </w:p>
        </w:tc>
      </w:tr>
      <w:tr w:rsidR="00492A34" w:rsidRPr="00951F52" w:rsidTr="00DE3527">
        <w:tc>
          <w:tcPr>
            <w:tcW w:w="988" w:type="dxa"/>
          </w:tcPr>
          <w:p w:rsidR="00492A34" w:rsidRPr="00951F52" w:rsidRDefault="00492A34" w:rsidP="00DE3527">
            <w:r w:rsidRPr="00951F52">
              <w:t>8</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Master Direction on Framework of incentives for Currency Distribution &amp; Exchange Scheme for bank branches including currency chests</w:t>
            </w:r>
          </w:p>
        </w:tc>
      </w:tr>
      <w:tr w:rsidR="00492A34" w:rsidRPr="00951F52" w:rsidTr="00DE3527">
        <w:tc>
          <w:tcPr>
            <w:tcW w:w="988" w:type="dxa"/>
          </w:tcPr>
          <w:p w:rsidR="00492A34" w:rsidRPr="00951F52" w:rsidRDefault="00492A34" w:rsidP="00DE3527">
            <w:r w:rsidRPr="00951F52">
              <w:t>9</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Master Direction on Penal Provisions in reporting of transactions / balances at Currency Chests</w:t>
            </w:r>
          </w:p>
        </w:tc>
      </w:tr>
      <w:tr w:rsidR="00492A34" w:rsidRPr="00951F52" w:rsidTr="00DE3527">
        <w:tc>
          <w:tcPr>
            <w:tcW w:w="988" w:type="dxa"/>
          </w:tcPr>
          <w:p w:rsidR="00492A34" w:rsidRPr="00951F52" w:rsidRDefault="00492A34" w:rsidP="00DE3527">
            <w:r w:rsidRPr="00951F52">
              <w:t>10</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Master Circular - Disbursement of Government Pension by Agency Banks</w:t>
            </w:r>
          </w:p>
        </w:tc>
      </w:tr>
      <w:tr w:rsidR="00492A34" w:rsidRPr="00951F52" w:rsidTr="00DE3527">
        <w:tc>
          <w:tcPr>
            <w:tcW w:w="988" w:type="dxa"/>
          </w:tcPr>
          <w:p w:rsidR="00492A34" w:rsidRPr="00951F52" w:rsidRDefault="00492A34" w:rsidP="00DE3527">
            <w:r w:rsidRPr="00951F52">
              <w:t>11</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Master Circular on Conduct of Government Business by Agency Banks - Payment of Agency Commission</w:t>
            </w:r>
          </w:p>
        </w:tc>
      </w:tr>
      <w:tr w:rsidR="00492A34" w:rsidRPr="00951F52" w:rsidTr="00DE3527">
        <w:tc>
          <w:tcPr>
            <w:tcW w:w="988" w:type="dxa"/>
          </w:tcPr>
          <w:p w:rsidR="00492A34" w:rsidRPr="00951F52" w:rsidRDefault="00492A34" w:rsidP="00DE3527">
            <w:r w:rsidRPr="00951F52">
              <w:t>12</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Master Direction on Counterfeit Notes, 2024 – Detection, Reporting and Monitoring</w:t>
            </w:r>
          </w:p>
        </w:tc>
      </w:tr>
      <w:tr w:rsidR="00492A34" w:rsidRPr="00951F52" w:rsidTr="00DE3527">
        <w:tc>
          <w:tcPr>
            <w:tcW w:w="988" w:type="dxa"/>
          </w:tcPr>
          <w:p w:rsidR="00492A34" w:rsidRPr="00951F52" w:rsidRDefault="00492A34" w:rsidP="00DE3527">
            <w:r w:rsidRPr="00951F52">
              <w:t>13</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Key Facts Statement (KFS) for Loans &amp; Advances</w:t>
            </w:r>
          </w:p>
        </w:tc>
      </w:tr>
      <w:tr w:rsidR="00492A34" w:rsidRPr="00951F52" w:rsidTr="00DE3527">
        <w:tc>
          <w:tcPr>
            <w:tcW w:w="988" w:type="dxa"/>
          </w:tcPr>
          <w:p w:rsidR="00492A34" w:rsidRPr="00951F52" w:rsidRDefault="00492A34" w:rsidP="00DE3527">
            <w:r w:rsidRPr="00951F52">
              <w:t>14</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Voluntary transition of Small Finance Banks to Universal Banks</w:t>
            </w:r>
          </w:p>
        </w:tc>
      </w:tr>
      <w:tr w:rsidR="00492A34" w:rsidRPr="00951F52" w:rsidTr="00DE3527">
        <w:tc>
          <w:tcPr>
            <w:tcW w:w="988" w:type="dxa"/>
          </w:tcPr>
          <w:p w:rsidR="00492A34" w:rsidRPr="00951F52" w:rsidRDefault="00492A34" w:rsidP="00DE3527">
            <w:r w:rsidRPr="00951F52">
              <w:t>15</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Fair Practices Code for Lenders – Charging of Interest</w:t>
            </w:r>
          </w:p>
        </w:tc>
      </w:tr>
      <w:tr w:rsidR="00492A34" w:rsidRPr="00951F52" w:rsidTr="00DE3527">
        <w:tc>
          <w:tcPr>
            <w:tcW w:w="988" w:type="dxa"/>
          </w:tcPr>
          <w:p w:rsidR="00492A34" w:rsidRPr="00951F52" w:rsidRDefault="00492A34" w:rsidP="00DE3527">
            <w:r w:rsidRPr="00951F52">
              <w:t>16</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Foreign Exchange Management (Deposit) (Fourth Amendment) Regulations, 2024</w:t>
            </w:r>
          </w:p>
        </w:tc>
      </w:tr>
      <w:tr w:rsidR="00492A34" w:rsidRPr="00951F52" w:rsidTr="00DE3527">
        <w:tc>
          <w:tcPr>
            <w:tcW w:w="988" w:type="dxa"/>
          </w:tcPr>
          <w:p w:rsidR="00492A34" w:rsidRPr="00951F52" w:rsidRDefault="00492A34" w:rsidP="00DE3527">
            <w:r w:rsidRPr="00951F52">
              <w:t>17</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Issuance of partly paid units to persons resident outside India by investment vehicles under Foreign Exchange Management (Non-debt Instruments) Rules, 2019</w:t>
            </w:r>
          </w:p>
        </w:tc>
      </w:tr>
      <w:tr w:rsidR="00492A34" w:rsidRPr="00951F52" w:rsidTr="00DE3527">
        <w:tc>
          <w:tcPr>
            <w:tcW w:w="988" w:type="dxa"/>
          </w:tcPr>
          <w:p w:rsidR="00492A34" w:rsidRPr="00951F52" w:rsidRDefault="00492A34" w:rsidP="00DE3527">
            <w:r w:rsidRPr="00951F52">
              <w:t>18</w:t>
            </w:r>
          </w:p>
        </w:tc>
        <w:tc>
          <w:tcPr>
            <w:tcW w:w="8028" w:type="dxa"/>
          </w:tcPr>
          <w:p w:rsidR="00492A34" w:rsidRPr="00C662FA" w:rsidRDefault="00C662FA" w:rsidP="00DE3527">
            <w:pPr>
              <w:rPr>
                <w:rFonts w:ascii="Calibri" w:hAnsi="Calibri" w:cs="Calibri"/>
                <w:color w:val="000000" w:themeColor="text1"/>
              </w:rPr>
            </w:pPr>
            <w:r w:rsidRPr="00C662FA">
              <w:rPr>
                <w:rFonts w:ascii="Calibri" w:hAnsi="Calibri" w:cs="Calibri"/>
                <w:color w:val="000000" w:themeColor="text1"/>
              </w:rPr>
              <w:t>Amendment to Master Direction - Reserve Bank of India (Interest Rate on Deposits) Directions, 2016</w:t>
            </w:r>
          </w:p>
        </w:tc>
      </w:tr>
    </w:tbl>
    <w:p w:rsidR="00F32AEA" w:rsidRDefault="009A4AE9"/>
    <w:p w:rsidR="00C662FA" w:rsidRDefault="00C662FA"/>
    <w:p w:rsidR="00FA1AD1" w:rsidRDefault="00FA1AD1"/>
    <w:p w:rsidR="00FA1AD1" w:rsidRDefault="00FA1AD1"/>
    <w:p w:rsidR="00FA1AD1" w:rsidRDefault="00FA1AD1"/>
    <w:p w:rsidR="00FA1AD1" w:rsidRDefault="00FA1AD1"/>
    <w:p w:rsidR="00FA1AD1" w:rsidRDefault="00FA1AD1"/>
    <w:p w:rsidR="00FA1AD1" w:rsidRDefault="00FA1AD1"/>
    <w:p w:rsidR="00FA1AD1" w:rsidRDefault="00FA1AD1"/>
    <w:p w:rsidR="00FA1AD1" w:rsidRDefault="00FA1AD1"/>
    <w:p w:rsidR="00FA1AD1" w:rsidRDefault="00FA1AD1"/>
    <w:p w:rsidR="00FA1AD1" w:rsidRDefault="00FA1AD1"/>
    <w:p w:rsidR="00FA1AD1" w:rsidRDefault="00FA1AD1"/>
    <w:p w:rsidR="00FA1AD1" w:rsidRDefault="00FA1AD1"/>
    <w:p w:rsidR="00FA1AD1" w:rsidRPr="00FA1AD1" w:rsidRDefault="00FA1AD1" w:rsidP="00FA1AD1">
      <w:pPr>
        <w:pStyle w:val="head"/>
        <w:jc w:val="both"/>
        <w:rPr>
          <w:rFonts w:ascii="Arial" w:hAnsi="Arial" w:cs="Arial"/>
          <w:b/>
          <w:bCs/>
          <w:color w:val="000000"/>
          <w:sz w:val="20"/>
          <w:szCs w:val="20"/>
        </w:rPr>
      </w:pPr>
      <w:r>
        <w:rPr>
          <w:rFonts w:ascii="Arial" w:hAnsi="Arial" w:cs="Arial"/>
          <w:b/>
          <w:bCs/>
          <w:color w:val="000000"/>
          <w:sz w:val="20"/>
          <w:szCs w:val="20"/>
        </w:rPr>
        <w:lastRenderedPageBreak/>
        <w:t>Inoperative Accounts /Unclaimed Deposits in Banks- Revised Instructions</w:t>
      </w:r>
    </w:p>
    <w:p w:rsidR="00FA1AD1" w:rsidRDefault="00FA1AD1" w:rsidP="00FA1AD1">
      <w:pPr>
        <w:pStyle w:val="NormalWeb"/>
        <w:jc w:val="both"/>
        <w:rPr>
          <w:rFonts w:ascii="Arial" w:hAnsi="Arial" w:cs="Arial"/>
          <w:color w:val="000000"/>
          <w:sz w:val="20"/>
          <w:szCs w:val="20"/>
        </w:rPr>
      </w:pPr>
      <w:r>
        <w:rPr>
          <w:rFonts w:ascii="Arial" w:hAnsi="Arial" w:cs="Arial"/>
          <w:color w:val="000000"/>
          <w:sz w:val="20"/>
          <w:szCs w:val="20"/>
        </w:rPr>
        <w:t>RBI/2023-24/105</w:t>
      </w:r>
      <w:r>
        <w:rPr>
          <w:rFonts w:ascii="Arial" w:hAnsi="Arial" w:cs="Arial"/>
          <w:color w:val="000000"/>
          <w:sz w:val="20"/>
          <w:szCs w:val="20"/>
        </w:rPr>
        <w:br/>
        <w:t>DOR.SOG (LEG).REC/64/09.08.024/2023-24</w:t>
      </w:r>
    </w:p>
    <w:p w:rsidR="00FA1AD1" w:rsidRDefault="00FA1AD1" w:rsidP="00FA1AD1">
      <w:pPr>
        <w:pStyle w:val="NormalWeb"/>
        <w:jc w:val="right"/>
        <w:rPr>
          <w:rFonts w:ascii="Arial" w:hAnsi="Arial" w:cs="Arial"/>
          <w:color w:val="000000"/>
          <w:sz w:val="20"/>
          <w:szCs w:val="20"/>
        </w:rPr>
      </w:pPr>
      <w:r>
        <w:rPr>
          <w:rFonts w:ascii="Arial" w:hAnsi="Arial" w:cs="Arial"/>
          <w:color w:val="000000"/>
          <w:sz w:val="20"/>
          <w:szCs w:val="20"/>
        </w:rPr>
        <w:t>January 1, 2024</w:t>
      </w:r>
    </w:p>
    <w:p w:rsidR="00FA1AD1" w:rsidRDefault="00FA1AD1" w:rsidP="00FA1AD1">
      <w:pPr>
        <w:pStyle w:val="NormalWeb"/>
        <w:jc w:val="both"/>
        <w:rPr>
          <w:rFonts w:ascii="Arial" w:hAnsi="Arial" w:cs="Arial"/>
          <w:color w:val="000000"/>
          <w:sz w:val="20"/>
          <w:szCs w:val="20"/>
        </w:rPr>
      </w:pPr>
      <w:r>
        <w:rPr>
          <w:rFonts w:ascii="Arial" w:hAnsi="Arial" w:cs="Arial"/>
          <w:color w:val="000000"/>
          <w:sz w:val="20"/>
          <w:szCs w:val="20"/>
        </w:rPr>
        <w:t>Madam / Dear Sir</w:t>
      </w:r>
    </w:p>
    <w:p w:rsidR="00FA1AD1" w:rsidRDefault="00FA1AD1" w:rsidP="00FA1AD1">
      <w:pPr>
        <w:pStyle w:val="head"/>
        <w:jc w:val="both"/>
        <w:rPr>
          <w:rFonts w:ascii="Arial" w:hAnsi="Arial" w:cs="Arial"/>
          <w:b/>
          <w:bCs/>
          <w:color w:val="000000"/>
          <w:sz w:val="20"/>
          <w:szCs w:val="20"/>
        </w:rPr>
      </w:pPr>
      <w:r>
        <w:rPr>
          <w:rFonts w:ascii="Arial" w:hAnsi="Arial" w:cs="Arial"/>
          <w:b/>
          <w:bCs/>
          <w:color w:val="000000"/>
          <w:sz w:val="20"/>
          <w:szCs w:val="20"/>
        </w:rPr>
        <w:t>Inoperative Accounts /Unclaimed Deposits in Banks- Revised Instructions</w:t>
      </w:r>
    </w:p>
    <w:p w:rsidR="00FA1AD1" w:rsidRDefault="00FA1AD1" w:rsidP="00FA1AD1">
      <w:pPr>
        <w:pStyle w:val="NormalWeb"/>
        <w:jc w:val="both"/>
        <w:rPr>
          <w:rFonts w:ascii="Arial" w:hAnsi="Arial" w:cs="Arial"/>
          <w:color w:val="000000"/>
          <w:sz w:val="20"/>
          <w:szCs w:val="20"/>
        </w:rPr>
      </w:pPr>
      <w:proofErr w:type="gramStart"/>
      <w:r>
        <w:rPr>
          <w:rFonts w:ascii="Arial" w:hAnsi="Arial" w:cs="Arial"/>
          <w:color w:val="000000"/>
          <w:sz w:val="20"/>
          <w:szCs w:val="20"/>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roofErr w:type="gramEnd"/>
    </w:p>
    <w:p w:rsidR="00FA1AD1" w:rsidRDefault="00FA1AD1" w:rsidP="00FA1AD1">
      <w:pPr>
        <w:pStyle w:val="NormalWeb"/>
        <w:jc w:val="both"/>
        <w:rPr>
          <w:rFonts w:ascii="Arial" w:hAnsi="Arial" w:cs="Arial"/>
          <w:color w:val="000000"/>
          <w:sz w:val="20"/>
          <w:szCs w:val="20"/>
        </w:rPr>
      </w:pPr>
      <w:r>
        <w:rPr>
          <w:rFonts w:ascii="Arial" w:hAnsi="Arial" w:cs="Arial"/>
          <w:color w:val="000000"/>
          <w:sz w:val="20"/>
          <w:szCs w:val="20"/>
        </w:rPr>
        <w:t xml:space="preserve">2. As a measure to assist the account holders and with a view to consolidating and rationalising the extant instructions on inoperative accounts, a review </w:t>
      </w:r>
      <w:proofErr w:type="gramStart"/>
      <w:r>
        <w:rPr>
          <w:rFonts w:ascii="Arial" w:hAnsi="Arial" w:cs="Arial"/>
          <w:color w:val="000000"/>
          <w:sz w:val="20"/>
          <w:szCs w:val="20"/>
        </w:rPr>
        <w:t>was carried out</w:t>
      </w:r>
      <w:proofErr w:type="gramEnd"/>
      <w:r>
        <w:rPr>
          <w:rFonts w:ascii="Arial" w:hAnsi="Arial" w:cs="Arial"/>
          <w:color w:val="000000"/>
          <w:sz w:val="20"/>
          <w:szCs w:val="20"/>
        </w:rPr>
        <w:t xml:space="preserve"> in consultation with all stakeholders. </w:t>
      </w:r>
      <w:proofErr w:type="gramStart"/>
      <w:r>
        <w:rPr>
          <w:rFonts w:ascii="Arial" w:hAnsi="Arial" w:cs="Arial"/>
          <w:color w:val="000000"/>
          <w:sz w:val="20"/>
          <w:szCs w:val="20"/>
        </w:rPr>
        <w:t xml:space="preserve">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w:t>
      </w:r>
      <w:proofErr w:type="gramEnd"/>
      <w:r>
        <w:rPr>
          <w:rFonts w:ascii="Arial" w:hAnsi="Arial" w:cs="Arial"/>
          <w:color w:val="000000"/>
          <w:sz w:val="20"/>
          <w:szCs w:val="20"/>
        </w:rPr>
        <w:t xml:space="preserve"> These instructions (provided in the </w:t>
      </w:r>
      <w:hyperlink r:id="rId5" w:anchor="AS" w:history="1">
        <w:r>
          <w:rPr>
            <w:rStyle w:val="Hyperlink"/>
            <w:rFonts w:ascii="Arial" w:hAnsi="Arial" w:cs="Arial"/>
            <w:sz w:val="20"/>
            <w:szCs w:val="20"/>
            <w:u w:val="none"/>
          </w:rPr>
          <w:t>Annex</w:t>
        </w:r>
      </w:hyperlink>
      <w:r>
        <w:rPr>
          <w:rFonts w:ascii="Arial" w:hAnsi="Arial" w:cs="Arial"/>
          <w:color w:val="000000"/>
          <w:sz w:val="20"/>
          <w:szCs w:val="20"/>
        </w:rPr>
        <w:t xml:space="preserve">) </w:t>
      </w:r>
      <w:proofErr w:type="gramStart"/>
      <w:r>
        <w:rPr>
          <w:rFonts w:ascii="Arial" w:hAnsi="Arial" w:cs="Arial"/>
          <w:color w:val="000000"/>
          <w:sz w:val="20"/>
          <w:szCs w:val="20"/>
        </w:rPr>
        <w:t>are expected</w:t>
      </w:r>
      <w:proofErr w:type="gramEnd"/>
      <w:r>
        <w:rPr>
          <w:rFonts w:ascii="Arial" w:hAnsi="Arial" w:cs="Arial"/>
          <w:color w:val="000000"/>
          <w:sz w:val="20"/>
          <w:szCs w:val="20"/>
        </w:rPr>
        <w:t xml:space="preserve"> to complement the ongoing efforts and initiatives taken by banks and the Reserve Bank, to reduce the quantum of unclaimed deposits in the banking system and return such deposits to their rightful owners/ claimants.</w:t>
      </w:r>
    </w:p>
    <w:p w:rsidR="00FA1AD1" w:rsidRDefault="00FA1AD1" w:rsidP="00FA1AD1">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by Sections 35A of the Banking Regulation Act, 1949 read with Sections 26A, 51 and 56 of the Act ibid and all other provisions of this Act or any other laws enabling Reserve Bank to issue instructions in this regard.</w:t>
      </w:r>
    </w:p>
    <w:p w:rsidR="00FA1AD1" w:rsidRDefault="00FA1AD1" w:rsidP="00FA1AD1">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(including RRBs) and all Co-operative Banks.</w:t>
      </w:r>
    </w:p>
    <w:p w:rsidR="00FA1AD1" w:rsidRDefault="00FA1AD1" w:rsidP="00FA1AD1">
      <w:pPr>
        <w:pStyle w:val="NormalWeb"/>
        <w:jc w:val="both"/>
        <w:rPr>
          <w:rFonts w:ascii="Arial" w:hAnsi="Arial" w:cs="Arial"/>
          <w:color w:val="000000"/>
          <w:sz w:val="20"/>
          <w:szCs w:val="20"/>
        </w:rPr>
      </w:pPr>
      <w:r>
        <w:rPr>
          <w:rFonts w:ascii="Arial" w:hAnsi="Arial" w:cs="Arial"/>
          <w:color w:val="000000"/>
          <w:sz w:val="20"/>
          <w:szCs w:val="20"/>
        </w:rPr>
        <w:t>5. The revised instructions shall come into effect from </w:t>
      </w:r>
      <w:r>
        <w:rPr>
          <w:rStyle w:val="head1"/>
          <w:rFonts w:ascii="Arial" w:hAnsi="Arial" w:cs="Arial"/>
          <w:b/>
          <w:bCs/>
          <w:color w:val="000000"/>
          <w:sz w:val="20"/>
          <w:szCs w:val="20"/>
        </w:rPr>
        <w:t>April 1, 2024</w:t>
      </w:r>
      <w:r>
        <w:rPr>
          <w:rFonts w:ascii="Arial" w:hAnsi="Arial" w:cs="Arial"/>
          <w:color w:val="000000"/>
          <w:sz w:val="20"/>
          <w:szCs w:val="20"/>
        </w:rPr>
        <w:t>.</w:t>
      </w:r>
    </w:p>
    <w:p w:rsidR="00FA1AD1" w:rsidRDefault="00FA1AD1" w:rsidP="00FA1AD1">
      <w:pPr>
        <w:pStyle w:val="NormalWeb"/>
        <w:jc w:val="both"/>
        <w:rPr>
          <w:rFonts w:ascii="Arial" w:hAnsi="Arial" w:cs="Arial"/>
          <w:color w:val="000000"/>
          <w:sz w:val="20"/>
          <w:szCs w:val="20"/>
        </w:rPr>
      </w:pPr>
      <w:r>
        <w:rPr>
          <w:rFonts w:ascii="Arial" w:hAnsi="Arial" w:cs="Arial"/>
          <w:color w:val="000000"/>
          <w:sz w:val="20"/>
          <w:szCs w:val="20"/>
        </w:rPr>
        <w:t>Yours faithfully</w:t>
      </w:r>
    </w:p>
    <w:p w:rsidR="00FA1AD1" w:rsidRDefault="00FA1AD1" w:rsidP="00FA1AD1">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FA1AD1" w:rsidRDefault="00FA1AD1">
      <w:r w:rsidRPr="00FA1AD1">
        <w:t>For more details, kindly refer:</w:t>
      </w:r>
    </w:p>
    <w:p w:rsidR="00FA1AD1" w:rsidRDefault="00FA1AD1">
      <w:hyperlink r:id="rId6" w:history="1">
        <w:r w:rsidRPr="00692C03">
          <w:rPr>
            <w:rStyle w:val="Hyperlink"/>
          </w:rPr>
          <w:t>https://www.rbi.org.in/Scripts/NotificationUser.aspx?Id=12589&amp;Mode=0</w:t>
        </w:r>
      </w:hyperlink>
      <w:r>
        <w:t xml:space="preserve"> </w:t>
      </w:r>
    </w:p>
    <w:p w:rsidR="00914256" w:rsidRDefault="00914256"/>
    <w:p w:rsidR="00914256" w:rsidRDefault="00914256"/>
    <w:p w:rsidR="00914256" w:rsidRDefault="00914256"/>
    <w:p w:rsidR="00914256" w:rsidRDefault="00914256"/>
    <w:p w:rsidR="00914256" w:rsidRDefault="00914256"/>
    <w:p w:rsidR="00914256" w:rsidRDefault="00914256"/>
    <w:p w:rsidR="001A16F7" w:rsidRPr="001A16F7" w:rsidRDefault="001A16F7" w:rsidP="001A16F7">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rsidR="001A16F7" w:rsidRDefault="001A16F7" w:rsidP="001A16F7">
      <w:pPr>
        <w:pStyle w:val="NormalWeb"/>
        <w:jc w:val="both"/>
        <w:rPr>
          <w:rFonts w:ascii="Arial" w:hAnsi="Arial" w:cs="Arial"/>
          <w:color w:val="000000"/>
          <w:sz w:val="20"/>
          <w:szCs w:val="20"/>
        </w:rPr>
      </w:pPr>
      <w:r>
        <w:rPr>
          <w:rFonts w:ascii="Arial" w:hAnsi="Arial" w:cs="Arial"/>
          <w:color w:val="000000"/>
          <w:sz w:val="20"/>
          <w:szCs w:val="20"/>
        </w:rPr>
        <w:t>RBI/2023-24/107</w:t>
      </w:r>
      <w:r>
        <w:rPr>
          <w:rFonts w:ascii="Arial" w:hAnsi="Arial" w:cs="Arial"/>
          <w:color w:val="000000"/>
          <w:sz w:val="20"/>
          <w:szCs w:val="20"/>
        </w:rPr>
        <w:br/>
        <w:t>DOR.AML.REC.66/14.01.001/2023-24</w:t>
      </w:r>
    </w:p>
    <w:p w:rsidR="001A16F7" w:rsidRDefault="001A16F7" w:rsidP="001A16F7">
      <w:pPr>
        <w:pStyle w:val="NormalWeb"/>
        <w:jc w:val="right"/>
        <w:rPr>
          <w:rFonts w:ascii="Arial" w:hAnsi="Arial" w:cs="Arial"/>
          <w:color w:val="000000"/>
          <w:sz w:val="20"/>
          <w:szCs w:val="20"/>
        </w:rPr>
      </w:pPr>
      <w:r>
        <w:rPr>
          <w:rFonts w:ascii="Arial" w:hAnsi="Arial" w:cs="Arial"/>
          <w:color w:val="000000"/>
          <w:sz w:val="20"/>
          <w:szCs w:val="20"/>
        </w:rPr>
        <w:t>January 04, 2024</w:t>
      </w:r>
    </w:p>
    <w:p w:rsidR="001A16F7" w:rsidRDefault="001A16F7" w:rsidP="001A16F7">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1A16F7" w:rsidRDefault="001A16F7" w:rsidP="001A16F7">
      <w:pPr>
        <w:pStyle w:val="NormalWeb"/>
        <w:jc w:val="both"/>
        <w:rPr>
          <w:rFonts w:ascii="Arial" w:hAnsi="Arial" w:cs="Arial"/>
          <w:color w:val="000000"/>
          <w:sz w:val="20"/>
          <w:szCs w:val="20"/>
        </w:rPr>
      </w:pPr>
      <w:r>
        <w:rPr>
          <w:rFonts w:ascii="Arial" w:hAnsi="Arial" w:cs="Arial"/>
          <w:color w:val="000000"/>
          <w:sz w:val="20"/>
          <w:szCs w:val="20"/>
        </w:rPr>
        <w:t>Dear Sir/Madam,</w:t>
      </w:r>
    </w:p>
    <w:p w:rsidR="001A16F7" w:rsidRDefault="001A16F7" w:rsidP="001A16F7">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1A16F7" w:rsidRDefault="001A16F7" w:rsidP="001A16F7">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7" w:tgtFrame="_blank" w:history="1">
        <w:r>
          <w:rPr>
            <w:rStyle w:val="Hyperlink"/>
            <w:rFonts w:ascii="Arial" w:hAnsi="Arial" w:cs="Arial"/>
            <w:sz w:val="20"/>
            <w:szCs w:val="20"/>
            <w:u w:val="none"/>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1A16F7" w:rsidRDefault="001A16F7" w:rsidP="001A16F7">
      <w:pPr>
        <w:pStyle w:val="NormalWeb"/>
        <w:jc w:val="both"/>
        <w:rPr>
          <w:rFonts w:ascii="Arial" w:hAnsi="Arial" w:cs="Arial"/>
          <w:color w:val="000000"/>
          <w:sz w:val="20"/>
          <w:szCs w:val="20"/>
        </w:rPr>
      </w:pPr>
      <w:r>
        <w:rPr>
          <w:rFonts w:ascii="Arial" w:hAnsi="Arial" w:cs="Arial"/>
          <w:color w:val="000000"/>
          <w:sz w:val="20"/>
          <w:szCs w:val="20"/>
        </w:rPr>
        <w:t xml:space="preserve">2. In the extant Direction, the definition of Politically Exposed Persons (PEPs) </w:t>
      </w:r>
      <w:proofErr w:type="gramStart"/>
      <w:r>
        <w:rPr>
          <w:rFonts w:ascii="Arial" w:hAnsi="Arial" w:cs="Arial"/>
          <w:color w:val="000000"/>
          <w:sz w:val="20"/>
          <w:szCs w:val="20"/>
        </w:rPr>
        <w:t>is provided</w:t>
      </w:r>
      <w:proofErr w:type="gramEnd"/>
      <w:r>
        <w:rPr>
          <w:rFonts w:ascii="Arial" w:hAnsi="Arial" w:cs="Arial"/>
          <w:color w:val="000000"/>
          <w:sz w:val="20"/>
          <w:szCs w:val="20"/>
        </w:rPr>
        <w:t xml:space="preserve"> in sub-clause (xvii) of clause (a) of Section 3 of the MD on KYC. However, in order to provide better clarity,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include the definition of PEPs as an explanation to Section 41 of the Master Direction as under:</w:t>
      </w:r>
    </w:p>
    <w:p w:rsidR="001A16F7" w:rsidRDefault="001A16F7" w:rsidP="001A16F7">
      <w:pPr>
        <w:pStyle w:val="NormalWeb"/>
        <w:jc w:val="both"/>
        <w:rPr>
          <w:rFonts w:ascii="Arial" w:hAnsi="Arial" w:cs="Arial"/>
          <w:color w:val="000000"/>
          <w:sz w:val="20"/>
          <w:szCs w:val="20"/>
        </w:rPr>
      </w:pPr>
      <w:r>
        <w:rPr>
          <w:rFonts w:ascii="Arial" w:hAnsi="Arial" w:cs="Arial"/>
          <w:color w:val="000000"/>
          <w:sz w:val="20"/>
          <w:szCs w:val="20"/>
        </w:rPr>
        <w:t>“Explanation: For the purpose of this Section, “Politically Exposed Persons” (PEPs) are individuals who are or have been entrusted with prominent public functions </w:t>
      </w:r>
      <w:r>
        <w:rPr>
          <w:rStyle w:val="head1"/>
          <w:rFonts w:ascii="Arial" w:hAnsi="Arial" w:cs="Arial"/>
          <w:b/>
          <w:bCs/>
          <w:color w:val="000000"/>
          <w:sz w:val="20"/>
          <w:szCs w:val="20"/>
        </w:rPr>
        <w:t>by a foreign country</w:t>
      </w:r>
      <w:r>
        <w:rPr>
          <w:rFonts w:ascii="Arial" w:hAnsi="Arial" w:cs="Arial"/>
          <w:color w:val="000000"/>
          <w:sz w:val="20"/>
          <w:szCs w:val="20"/>
        </w:rPr>
        <w:t>, including the Heads of States/Governments, senior politicians, senior government or judicial or military officers, senior executives of state-owned corporations and important political party officials.”</w:t>
      </w:r>
    </w:p>
    <w:p w:rsidR="001A16F7" w:rsidRDefault="001A16F7" w:rsidP="001A16F7">
      <w:pPr>
        <w:pStyle w:val="NormalWeb"/>
        <w:jc w:val="both"/>
        <w:rPr>
          <w:rFonts w:ascii="Arial" w:hAnsi="Arial" w:cs="Arial"/>
          <w:color w:val="000000"/>
          <w:sz w:val="20"/>
          <w:szCs w:val="20"/>
        </w:rPr>
      </w:pPr>
      <w:r>
        <w:rPr>
          <w:rFonts w:ascii="Arial" w:hAnsi="Arial" w:cs="Arial"/>
          <w:color w:val="000000"/>
          <w:sz w:val="20"/>
          <w:szCs w:val="20"/>
        </w:rPr>
        <w:t xml:space="preserve">3. Consequently, the sub-clause (xvii) of clause (a) of Section 3 of the above quoted Master Direction </w:t>
      </w:r>
      <w:proofErr w:type="gramStart"/>
      <w:r>
        <w:rPr>
          <w:rFonts w:ascii="Arial" w:hAnsi="Arial" w:cs="Arial"/>
          <w:color w:val="000000"/>
          <w:sz w:val="20"/>
          <w:szCs w:val="20"/>
        </w:rPr>
        <w:t>has been removed</w:t>
      </w:r>
      <w:proofErr w:type="gramEnd"/>
      <w:r>
        <w:rPr>
          <w:rFonts w:ascii="Arial" w:hAnsi="Arial" w:cs="Arial"/>
          <w:color w:val="000000"/>
          <w:sz w:val="20"/>
          <w:szCs w:val="20"/>
        </w:rPr>
        <w:t>. The relevant Sections of the </w:t>
      </w:r>
      <w:hyperlink r:id="rId8" w:tgtFrame="_blank" w:history="1">
        <w:r>
          <w:rPr>
            <w:rStyle w:val="Hyperlink"/>
            <w:rFonts w:ascii="Arial" w:hAnsi="Arial" w:cs="Arial"/>
            <w:sz w:val="20"/>
            <w:szCs w:val="20"/>
            <w:u w:val="none"/>
          </w:rPr>
          <w:t>MD on KYC</w:t>
        </w:r>
      </w:hyperlink>
      <w:r>
        <w:rPr>
          <w:rFonts w:ascii="Arial" w:hAnsi="Arial" w:cs="Arial"/>
          <w:color w:val="000000"/>
          <w:sz w:val="20"/>
          <w:szCs w:val="20"/>
        </w:rPr>
        <w:t> </w:t>
      </w:r>
      <w:proofErr w:type="gramStart"/>
      <w:r>
        <w:rPr>
          <w:rFonts w:ascii="Arial" w:hAnsi="Arial" w:cs="Arial"/>
          <w:color w:val="000000"/>
          <w:sz w:val="20"/>
          <w:szCs w:val="20"/>
        </w:rPr>
        <w:t>are hereby amended</w:t>
      </w:r>
      <w:proofErr w:type="gramEnd"/>
      <w:r>
        <w:rPr>
          <w:rFonts w:ascii="Arial" w:hAnsi="Arial" w:cs="Arial"/>
          <w:color w:val="000000"/>
          <w:sz w:val="20"/>
          <w:szCs w:val="20"/>
        </w:rPr>
        <w:t xml:space="preserve"> to reflect the changes as mentioned above.</w:t>
      </w:r>
    </w:p>
    <w:p w:rsidR="001A16F7" w:rsidRDefault="001A16F7" w:rsidP="001A16F7">
      <w:pPr>
        <w:pStyle w:val="NormalWeb"/>
        <w:jc w:val="both"/>
        <w:rPr>
          <w:rFonts w:ascii="Arial" w:hAnsi="Arial" w:cs="Arial"/>
          <w:color w:val="000000"/>
          <w:sz w:val="20"/>
          <w:szCs w:val="20"/>
        </w:rPr>
      </w:pPr>
      <w:r>
        <w:rPr>
          <w:rFonts w:ascii="Arial" w:hAnsi="Arial" w:cs="Arial"/>
          <w:color w:val="000000"/>
          <w:sz w:val="20"/>
          <w:szCs w:val="20"/>
        </w:rPr>
        <w:t>Yours faithfully,</w:t>
      </w:r>
    </w:p>
    <w:p w:rsidR="001A16F7" w:rsidRDefault="001A16F7" w:rsidP="001A16F7">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Saidutta</w:t>
      </w:r>
      <w:proofErr w:type="spellEnd"/>
      <w:r>
        <w:rPr>
          <w:rFonts w:ascii="Arial" w:hAnsi="Arial" w:cs="Arial"/>
          <w:color w:val="000000"/>
          <w:sz w:val="20"/>
          <w:szCs w:val="20"/>
        </w:rPr>
        <w:t xml:space="preserve"> </w:t>
      </w:r>
      <w:proofErr w:type="spellStart"/>
      <w:r>
        <w:rPr>
          <w:rFonts w:ascii="Arial" w:hAnsi="Arial" w:cs="Arial"/>
          <w:color w:val="000000"/>
          <w:sz w:val="20"/>
          <w:szCs w:val="20"/>
        </w:rPr>
        <w:t>Sangram</w:t>
      </w:r>
      <w:proofErr w:type="spellEnd"/>
      <w:r>
        <w:rPr>
          <w:rFonts w:ascii="Arial" w:hAnsi="Arial" w:cs="Arial"/>
          <w:color w:val="000000"/>
          <w:sz w:val="20"/>
          <w:szCs w:val="20"/>
        </w:rPr>
        <w:t xml:space="preserve"> </w:t>
      </w:r>
      <w:proofErr w:type="spellStart"/>
      <w:r>
        <w:rPr>
          <w:rFonts w:ascii="Arial" w:hAnsi="Arial" w:cs="Arial"/>
          <w:color w:val="000000"/>
          <w:sz w:val="20"/>
          <w:szCs w:val="20"/>
        </w:rPr>
        <w:t>Keshari</w:t>
      </w:r>
      <w:proofErr w:type="spellEnd"/>
      <w:r>
        <w:rPr>
          <w:rFonts w:ascii="Arial" w:hAnsi="Arial" w:cs="Arial"/>
          <w:color w:val="000000"/>
          <w:sz w:val="20"/>
          <w:szCs w:val="20"/>
        </w:rPr>
        <w:t xml:space="preserve"> Pradhan)</w:t>
      </w:r>
      <w:r>
        <w:rPr>
          <w:rFonts w:ascii="Arial" w:hAnsi="Arial" w:cs="Arial"/>
          <w:color w:val="000000"/>
          <w:sz w:val="20"/>
          <w:szCs w:val="20"/>
        </w:rPr>
        <w:br/>
        <w:t>General Manager</w:t>
      </w:r>
    </w:p>
    <w:p w:rsidR="001A16F7" w:rsidRDefault="001A16F7" w:rsidP="001A16F7">
      <w:pPr>
        <w:pStyle w:val="NormalWeb"/>
        <w:rPr>
          <w:rFonts w:ascii="Arial" w:hAnsi="Arial" w:cs="Arial"/>
          <w:color w:val="000000"/>
          <w:sz w:val="20"/>
          <w:szCs w:val="20"/>
        </w:rPr>
      </w:pPr>
      <w:r w:rsidRPr="001A16F7">
        <w:rPr>
          <w:rFonts w:ascii="Arial" w:hAnsi="Arial" w:cs="Arial"/>
          <w:color w:val="000000"/>
          <w:sz w:val="20"/>
          <w:szCs w:val="20"/>
        </w:rPr>
        <w:t>For more details, kindly refer:</w:t>
      </w:r>
    </w:p>
    <w:p w:rsidR="001A16F7" w:rsidRDefault="001A16F7" w:rsidP="001A16F7">
      <w:pPr>
        <w:pStyle w:val="NormalWeb"/>
        <w:rPr>
          <w:rFonts w:ascii="Arial" w:hAnsi="Arial" w:cs="Arial"/>
          <w:color w:val="000000"/>
          <w:sz w:val="20"/>
          <w:szCs w:val="20"/>
        </w:rPr>
      </w:pPr>
      <w:hyperlink r:id="rId9" w:history="1">
        <w:r w:rsidRPr="00692C03">
          <w:rPr>
            <w:rStyle w:val="Hyperlink"/>
            <w:rFonts w:ascii="Arial" w:hAnsi="Arial" w:cs="Arial"/>
            <w:sz w:val="20"/>
            <w:szCs w:val="20"/>
          </w:rPr>
          <w:t>https://www.rbi.org.in/Scripts/NotificationUser.aspx?Id=12593&amp;Mode=0</w:t>
        </w:r>
      </w:hyperlink>
      <w:r>
        <w:rPr>
          <w:rFonts w:ascii="Arial" w:hAnsi="Arial" w:cs="Arial"/>
          <w:color w:val="000000"/>
          <w:sz w:val="20"/>
          <w:szCs w:val="20"/>
        </w:rPr>
        <w:t xml:space="preserve"> </w:t>
      </w:r>
    </w:p>
    <w:p w:rsidR="00B737F0" w:rsidRDefault="00B737F0" w:rsidP="001A16F7">
      <w:pPr>
        <w:pStyle w:val="NormalWeb"/>
        <w:rPr>
          <w:rFonts w:ascii="Arial" w:hAnsi="Arial" w:cs="Arial"/>
          <w:color w:val="000000"/>
          <w:sz w:val="20"/>
          <w:szCs w:val="20"/>
        </w:rPr>
      </w:pPr>
    </w:p>
    <w:p w:rsidR="00B737F0" w:rsidRDefault="00B737F0" w:rsidP="001A16F7">
      <w:pPr>
        <w:pStyle w:val="NormalWeb"/>
        <w:rPr>
          <w:rFonts w:ascii="Arial" w:hAnsi="Arial" w:cs="Arial"/>
          <w:color w:val="000000"/>
          <w:sz w:val="20"/>
          <w:szCs w:val="20"/>
        </w:rPr>
      </w:pPr>
    </w:p>
    <w:p w:rsidR="00B737F0" w:rsidRDefault="00B737F0" w:rsidP="001A16F7">
      <w:pPr>
        <w:pStyle w:val="NormalWeb"/>
        <w:rPr>
          <w:rFonts w:ascii="Arial" w:hAnsi="Arial" w:cs="Arial"/>
          <w:color w:val="000000"/>
          <w:sz w:val="20"/>
          <w:szCs w:val="20"/>
        </w:rPr>
      </w:pPr>
    </w:p>
    <w:p w:rsidR="00B737F0" w:rsidRDefault="00B737F0" w:rsidP="001A16F7">
      <w:pPr>
        <w:pStyle w:val="NormalWeb"/>
        <w:rPr>
          <w:rFonts w:ascii="Arial" w:hAnsi="Arial" w:cs="Arial"/>
          <w:color w:val="000000"/>
          <w:sz w:val="20"/>
          <w:szCs w:val="20"/>
        </w:rPr>
      </w:pPr>
    </w:p>
    <w:p w:rsidR="00B737F0" w:rsidRDefault="00B737F0" w:rsidP="001A16F7">
      <w:pPr>
        <w:pStyle w:val="NormalWeb"/>
        <w:rPr>
          <w:rFonts w:ascii="Arial" w:hAnsi="Arial" w:cs="Arial"/>
          <w:color w:val="000000"/>
          <w:sz w:val="20"/>
          <w:szCs w:val="20"/>
        </w:rPr>
      </w:pPr>
    </w:p>
    <w:p w:rsidR="00B737F0" w:rsidRDefault="00B737F0" w:rsidP="001A16F7">
      <w:pPr>
        <w:pStyle w:val="NormalWeb"/>
        <w:rPr>
          <w:rFonts w:ascii="Arial" w:hAnsi="Arial" w:cs="Arial"/>
          <w:color w:val="000000"/>
          <w:sz w:val="20"/>
          <w:szCs w:val="20"/>
        </w:rPr>
      </w:pPr>
    </w:p>
    <w:p w:rsidR="00B737F0" w:rsidRDefault="00B737F0" w:rsidP="001A16F7">
      <w:pPr>
        <w:pStyle w:val="NormalWeb"/>
        <w:rPr>
          <w:rFonts w:ascii="Arial" w:hAnsi="Arial" w:cs="Arial"/>
          <w:color w:val="000000"/>
          <w:sz w:val="20"/>
          <w:szCs w:val="20"/>
        </w:rPr>
      </w:pPr>
    </w:p>
    <w:p w:rsidR="00B737F0" w:rsidRDefault="00B737F0" w:rsidP="001A16F7">
      <w:pPr>
        <w:pStyle w:val="NormalWeb"/>
        <w:rPr>
          <w:rFonts w:ascii="Arial" w:hAnsi="Arial" w:cs="Arial"/>
          <w:color w:val="000000"/>
          <w:sz w:val="20"/>
          <w:szCs w:val="20"/>
        </w:rPr>
      </w:pPr>
    </w:p>
    <w:p w:rsidR="00B737F0" w:rsidRPr="00B737F0" w:rsidRDefault="00B737F0" w:rsidP="00B737F0">
      <w:pPr>
        <w:spacing w:before="100" w:beforeAutospacing="1" w:after="100" w:afterAutospacing="1" w:line="240" w:lineRule="auto"/>
        <w:jc w:val="center"/>
        <w:rPr>
          <w:rFonts w:ascii="Arial" w:eastAsia="Times New Roman" w:hAnsi="Arial" w:cs="Arial"/>
          <w:b/>
          <w:bCs/>
          <w:color w:val="000000"/>
          <w:sz w:val="20"/>
          <w:szCs w:val="20"/>
          <w:lang w:eastAsia="en-IN"/>
        </w:rPr>
      </w:pPr>
      <w:r w:rsidRPr="00B737F0">
        <w:rPr>
          <w:rFonts w:ascii="Arial" w:eastAsia="Times New Roman" w:hAnsi="Arial" w:cs="Arial"/>
          <w:b/>
          <w:bCs/>
          <w:color w:val="000000"/>
          <w:sz w:val="20"/>
          <w:szCs w:val="20"/>
          <w:lang w:eastAsia="en-IN"/>
        </w:rPr>
        <w:lastRenderedPageBreak/>
        <w:t>Credit/Investment Concentration Norms – Credit Risk Transfer</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RBI/2023-24/112</w:t>
      </w:r>
      <w:r w:rsidRPr="00B737F0">
        <w:rPr>
          <w:rFonts w:ascii="Arial" w:eastAsia="Times New Roman" w:hAnsi="Arial" w:cs="Arial"/>
          <w:color w:val="000000"/>
          <w:sz w:val="20"/>
          <w:szCs w:val="20"/>
          <w:lang w:eastAsia="en-IN"/>
        </w:rPr>
        <w:br/>
        <w:t>DOR.CRE.REC.70/21.01.003/2023-24</w:t>
      </w:r>
    </w:p>
    <w:p w:rsidR="00B737F0" w:rsidRPr="00B737F0" w:rsidRDefault="00B737F0" w:rsidP="00B737F0">
      <w:pPr>
        <w:spacing w:before="100" w:beforeAutospacing="1" w:after="100" w:afterAutospacing="1" w:line="240" w:lineRule="auto"/>
        <w:jc w:val="right"/>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January 15, 2024</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All Non-Banking Financial Companies including Housing Finance Companies</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Madam/ Dear Sir,</w:t>
      </w:r>
    </w:p>
    <w:p w:rsidR="00B737F0" w:rsidRPr="00B737F0" w:rsidRDefault="00B737F0" w:rsidP="00B737F0">
      <w:pPr>
        <w:spacing w:before="100" w:beforeAutospacing="1" w:after="100" w:afterAutospacing="1" w:line="240" w:lineRule="auto"/>
        <w:jc w:val="center"/>
        <w:rPr>
          <w:rFonts w:ascii="Arial" w:eastAsia="Times New Roman" w:hAnsi="Arial" w:cs="Arial"/>
          <w:b/>
          <w:bCs/>
          <w:color w:val="000000"/>
          <w:sz w:val="20"/>
          <w:szCs w:val="20"/>
          <w:lang w:eastAsia="en-IN"/>
        </w:rPr>
      </w:pPr>
      <w:r w:rsidRPr="00B737F0">
        <w:rPr>
          <w:rFonts w:ascii="Arial" w:eastAsia="Times New Roman" w:hAnsi="Arial" w:cs="Arial"/>
          <w:b/>
          <w:bCs/>
          <w:color w:val="000000"/>
          <w:sz w:val="20"/>
          <w:szCs w:val="20"/>
          <w:lang w:eastAsia="en-IN"/>
        </w:rPr>
        <w:t>Credit/Investment Concentration Norms – Credit Risk Transfer</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B737F0">
        <w:rPr>
          <w:rFonts w:ascii="Arial" w:eastAsia="Times New Roman" w:hAnsi="Arial" w:cs="Arial"/>
          <w:color w:val="000000"/>
          <w:sz w:val="20"/>
          <w:szCs w:val="20"/>
          <w:lang w:eastAsia="en-IN"/>
        </w:rPr>
        <w:t>Please refer to the following instructions, as amended from time to time: (</w:t>
      </w:r>
      <w:proofErr w:type="spellStart"/>
      <w:r w:rsidRPr="00B737F0">
        <w:rPr>
          <w:rFonts w:ascii="Arial" w:eastAsia="Times New Roman" w:hAnsi="Arial" w:cs="Arial"/>
          <w:color w:val="000000"/>
          <w:sz w:val="20"/>
          <w:szCs w:val="20"/>
          <w:lang w:eastAsia="en-IN"/>
        </w:rPr>
        <w:t>i</w:t>
      </w:r>
      <w:proofErr w:type="spellEnd"/>
      <w:r w:rsidRPr="00B737F0">
        <w:rPr>
          <w:rFonts w:ascii="Arial" w:eastAsia="Times New Roman" w:hAnsi="Arial" w:cs="Arial"/>
          <w:color w:val="000000"/>
          <w:sz w:val="20"/>
          <w:szCs w:val="20"/>
          <w:lang w:eastAsia="en-IN"/>
        </w:rPr>
        <w:t>) paragraphs 32, 91 and 110.4.2 of </w:t>
      </w:r>
      <w:hyperlink r:id="rId10" w:tgtFrame="_blank" w:history="1">
        <w:r w:rsidRPr="00B737F0">
          <w:rPr>
            <w:rFonts w:ascii="Arial" w:eastAsia="Times New Roman" w:hAnsi="Arial" w:cs="Arial"/>
            <w:color w:val="0000FF"/>
            <w:sz w:val="20"/>
            <w:szCs w:val="20"/>
            <w:u w:val="single"/>
            <w:lang w:eastAsia="en-IN"/>
          </w:rPr>
          <w:t>Master Direction - Reserve Bank of India (Non-Banking Financial Company – Scale Based Regulation) Directions, 2023 dated October 19, 2023</w:t>
        </w:r>
      </w:hyperlink>
      <w:r w:rsidRPr="00B737F0">
        <w:rPr>
          <w:rFonts w:ascii="Arial" w:eastAsia="Times New Roman" w:hAnsi="Arial" w:cs="Arial"/>
          <w:color w:val="000000"/>
          <w:sz w:val="20"/>
          <w:szCs w:val="20"/>
          <w:lang w:eastAsia="en-IN"/>
        </w:rPr>
        <w:t> (“MD on NBFC”); and (ii) paragraph 20 of </w:t>
      </w:r>
      <w:hyperlink r:id="rId11" w:tgtFrame="_blank" w:history="1">
        <w:r w:rsidRPr="00B737F0">
          <w:rPr>
            <w:rFonts w:ascii="Arial" w:eastAsia="Times New Roman" w:hAnsi="Arial" w:cs="Arial"/>
            <w:color w:val="0000FF"/>
            <w:sz w:val="20"/>
            <w:szCs w:val="20"/>
            <w:u w:val="single"/>
            <w:lang w:eastAsia="en-IN"/>
          </w:rPr>
          <w:t>Master Direction - Non-Banking Financial Company – Housing Finance Company (Reserve Bank) Directions, 2021 dated February 17, 2021</w:t>
        </w:r>
      </w:hyperlink>
      <w:r w:rsidRPr="00B737F0">
        <w:rPr>
          <w:rFonts w:ascii="Arial" w:eastAsia="Times New Roman" w:hAnsi="Arial" w:cs="Arial"/>
          <w:color w:val="000000"/>
          <w:sz w:val="20"/>
          <w:szCs w:val="20"/>
          <w:lang w:eastAsia="en-IN"/>
        </w:rPr>
        <w:t> (“MD on HFC”).</w:t>
      </w:r>
      <w:proofErr w:type="gramEnd"/>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 xml:space="preserve">2. The guidelines on Large Exposures Framework (LEF) are applicable to NBFC-Upper Layer (NBFC-UL) in terms of paragraph 110 of the MD on NBFC. The NBFC-Base Layer (NBFC-BL) and NBFC-Middle Layer (NBFC-ML) </w:t>
      </w:r>
      <w:proofErr w:type="gramStart"/>
      <w:r w:rsidRPr="00B737F0">
        <w:rPr>
          <w:rFonts w:ascii="Arial" w:eastAsia="Times New Roman" w:hAnsi="Arial" w:cs="Arial"/>
          <w:color w:val="000000"/>
          <w:sz w:val="20"/>
          <w:szCs w:val="20"/>
          <w:lang w:eastAsia="en-IN"/>
        </w:rPr>
        <w:t>are, however, governed</w:t>
      </w:r>
      <w:proofErr w:type="gramEnd"/>
      <w:r w:rsidRPr="00B737F0">
        <w:rPr>
          <w:rFonts w:ascii="Arial" w:eastAsia="Times New Roman" w:hAnsi="Arial" w:cs="Arial"/>
          <w:color w:val="000000"/>
          <w:sz w:val="20"/>
          <w:szCs w:val="20"/>
          <w:lang w:eastAsia="en-IN"/>
        </w:rPr>
        <w:t xml:space="preserve"> by the credit/investment concentration norms prescribed at paragraphs 32 and 91 of the MD on NBFC, paragraph 20 of MD on HFC and </w:t>
      </w:r>
      <w:hyperlink r:id="rId12" w:tgtFrame="_blank" w:history="1">
        <w:r w:rsidRPr="00B737F0">
          <w:rPr>
            <w:rFonts w:ascii="Arial" w:eastAsia="Times New Roman" w:hAnsi="Arial" w:cs="Arial"/>
            <w:color w:val="0000FF"/>
            <w:sz w:val="20"/>
            <w:szCs w:val="20"/>
            <w:u w:val="single"/>
            <w:lang w:eastAsia="en-IN"/>
          </w:rPr>
          <w:t>circular on Scale Based Regulation (SBR): A Revised Regulatory Framework for NBFCs dated October 22, 2021</w:t>
        </w:r>
      </w:hyperlink>
      <w:r w:rsidRPr="00B737F0">
        <w:rPr>
          <w:rFonts w:ascii="Arial" w:eastAsia="Times New Roman" w:hAnsi="Arial" w:cs="Arial"/>
          <w:color w:val="000000"/>
          <w:sz w:val="20"/>
          <w:szCs w:val="20"/>
          <w:lang w:eastAsia="en-IN"/>
        </w:rPr>
        <w:t xml:space="preserve">. In order to ensure uniformity and consistency in computation of concentration norms among NBFCs, a review of the extant concentration norms </w:t>
      </w:r>
      <w:proofErr w:type="gramStart"/>
      <w:r w:rsidRPr="00B737F0">
        <w:rPr>
          <w:rFonts w:ascii="Arial" w:eastAsia="Times New Roman" w:hAnsi="Arial" w:cs="Arial"/>
          <w:color w:val="000000"/>
          <w:sz w:val="20"/>
          <w:szCs w:val="20"/>
          <w:lang w:eastAsia="en-IN"/>
        </w:rPr>
        <w:t>has been carried out</w:t>
      </w:r>
      <w:proofErr w:type="gramEnd"/>
      <w:r w:rsidRPr="00B737F0">
        <w:rPr>
          <w:rFonts w:ascii="Arial" w:eastAsia="Times New Roman" w:hAnsi="Arial" w:cs="Arial"/>
          <w:color w:val="000000"/>
          <w:sz w:val="20"/>
          <w:szCs w:val="20"/>
          <w:lang w:eastAsia="en-IN"/>
        </w:rPr>
        <w:t xml:space="preserve"> and it has been decided as under:</w:t>
      </w:r>
    </w:p>
    <w:p w:rsidR="00B737F0" w:rsidRPr="00B737F0" w:rsidRDefault="00B737F0" w:rsidP="00B737F0">
      <w:pPr>
        <w:spacing w:before="100" w:beforeAutospacing="1" w:after="100" w:afterAutospacing="1" w:line="240" w:lineRule="auto"/>
        <w:jc w:val="both"/>
        <w:rPr>
          <w:rFonts w:ascii="Arial" w:eastAsia="Times New Roman" w:hAnsi="Arial" w:cs="Arial"/>
          <w:b/>
          <w:bCs/>
          <w:color w:val="000000"/>
          <w:sz w:val="20"/>
          <w:szCs w:val="20"/>
          <w:lang w:eastAsia="en-IN"/>
        </w:rPr>
      </w:pPr>
      <w:r w:rsidRPr="00B737F0">
        <w:rPr>
          <w:rFonts w:ascii="Arial" w:eastAsia="Times New Roman" w:hAnsi="Arial" w:cs="Arial"/>
          <w:b/>
          <w:bCs/>
          <w:color w:val="000000"/>
          <w:sz w:val="20"/>
          <w:szCs w:val="20"/>
          <w:u w:val="single"/>
          <w:lang w:eastAsia="en-IN"/>
        </w:rPr>
        <w:t>A. Regulations for NBFC-ML</w:t>
      </w:r>
    </w:p>
    <w:p w:rsidR="00B737F0" w:rsidRPr="00B737F0" w:rsidRDefault="00B737F0" w:rsidP="00B737F0">
      <w:pPr>
        <w:spacing w:before="100" w:beforeAutospacing="1" w:after="100" w:afterAutospacing="1" w:line="240" w:lineRule="auto"/>
        <w:jc w:val="both"/>
        <w:rPr>
          <w:rFonts w:ascii="Arial" w:eastAsia="Times New Roman" w:hAnsi="Arial" w:cs="Arial"/>
          <w:b/>
          <w:bCs/>
          <w:color w:val="000000"/>
          <w:sz w:val="20"/>
          <w:szCs w:val="20"/>
          <w:lang w:eastAsia="en-IN"/>
        </w:rPr>
      </w:pPr>
      <w:r w:rsidRPr="00B737F0">
        <w:rPr>
          <w:rFonts w:ascii="Arial" w:eastAsia="Times New Roman" w:hAnsi="Arial" w:cs="Arial"/>
          <w:b/>
          <w:bCs/>
          <w:color w:val="000000"/>
          <w:sz w:val="20"/>
          <w:szCs w:val="20"/>
          <w:lang w:eastAsia="en-IN"/>
        </w:rPr>
        <w:t>3. Computation of exposure – Credit Risk Transfer Instruments</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B737F0">
        <w:rPr>
          <w:rFonts w:ascii="Arial" w:eastAsia="Times New Roman" w:hAnsi="Arial" w:cs="Arial"/>
          <w:color w:val="000000"/>
          <w:sz w:val="20"/>
          <w:szCs w:val="20"/>
          <w:lang w:eastAsia="en-IN"/>
        </w:rPr>
        <w:t>Aggregate exposure to a counterparty comprising both on and off-balance sheet exposures are calculated based on the method prescribed for capital computation in MD on NBFC and MD on HFC; i.e., on-balance sheet exposures are reckoned at the outstanding amount</w:t>
      </w:r>
      <w:hyperlink r:id="rId13" w:anchor="FN1" w:history="1">
        <w:r w:rsidRPr="00B737F0">
          <w:rPr>
            <w:rFonts w:ascii="Arial" w:eastAsia="Times New Roman" w:hAnsi="Arial" w:cs="Arial"/>
            <w:color w:val="0000FF"/>
            <w:sz w:val="15"/>
            <w:szCs w:val="15"/>
            <w:u w:val="single"/>
            <w:vertAlign w:val="superscript"/>
            <w:lang w:eastAsia="en-IN"/>
          </w:rPr>
          <w:t>1</w:t>
        </w:r>
      </w:hyperlink>
      <w:r w:rsidRPr="00B737F0">
        <w:rPr>
          <w:rFonts w:ascii="Arial" w:eastAsia="Times New Roman" w:hAnsi="Arial" w:cs="Arial"/>
          <w:color w:val="000000"/>
          <w:sz w:val="20"/>
          <w:szCs w:val="20"/>
          <w:lang w:eastAsia="en-IN"/>
        </w:rPr>
        <w:t> while the off-balance sheet exposures are converted into credit risk equivalent by applying the credit conversion factor prescribed under capital requirements.</w:t>
      </w:r>
      <w:proofErr w:type="gramEnd"/>
      <w:r w:rsidRPr="00B737F0">
        <w:rPr>
          <w:rFonts w:ascii="Arial" w:eastAsia="Times New Roman" w:hAnsi="Arial" w:cs="Arial"/>
          <w:color w:val="000000"/>
          <w:sz w:val="20"/>
          <w:szCs w:val="20"/>
          <w:lang w:eastAsia="en-IN"/>
        </w:rPr>
        <w:t xml:space="preserve"> Further, as per Annex XIV of the MD on NBFC, credit default swaps (CDS) are currently allowed as credit risk transfer instruments for offsetting exposure to the underlying counterparty. Henceforth, the exposures of NBFC-ML </w:t>
      </w:r>
      <w:proofErr w:type="gramStart"/>
      <w:r w:rsidRPr="00B737F0">
        <w:rPr>
          <w:rFonts w:ascii="Arial" w:eastAsia="Times New Roman" w:hAnsi="Arial" w:cs="Arial"/>
          <w:color w:val="000000"/>
          <w:sz w:val="20"/>
          <w:szCs w:val="20"/>
          <w:lang w:eastAsia="en-IN"/>
        </w:rPr>
        <w:t>shall also be offset</w:t>
      </w:r>
      <w:proofErr w:type="gramEnd"/>
      <w:r w:rsidRPr="00B737F0">
        <w:rPr>
          <w:rFonts w:ascii="Arial" w:eastAsia="Times New Roman" w:hAnsi="Arial" w:cs="Arial"/>
          <w:color w:val="000000"/>
          <w:sz w:val="20"/>
          <w:szCs w:val="20"/>
          <w:lang w:eastAsia="en-IN"/>
        </w:rPr>
        <w:t xml:space="preserve"> with credit risk transfer instruments listed below:</w:t>
      </w:r>
    </w:p>
    <w:p w:rsidR="00B737F0" w:rsidRPr="00B737F0" w:rsidRDefault="00B737F0" w:rsidP="00B737F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Cash margin/caution money/security deposit held as collateral on behalf of the borrower against the advances for which right to set off is available;</w:t>
      </w:r>
    </w:p>
    <w:p w:rsidR="00B737F0" w:rsidRPr="00B737F0" w:rsidRDefault="00B737F0" w:rsidP="00B737F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Central Government guaranteed claims which attract 0 per cent risk weight for capital computation;</w:t>
      </w:r>
    </w:p>
    <w:p w:rsidR="00B737F0" w:rsidRPr="00B737F0" w:rsidRDefault="00B737F0" w:rsidP="00B737F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State Government guaranteed claims which attract 20 per cent risk weight for capital computation</w:t>
      </w:r>
      <w:hyperlink r:id="rId14" w:anchor="FN2" w:history="1">
        <w:r w:rsidRPr="00B737F0">
          <w:rPr>
            <w:rFonts w:ascii="Arial" w:eastAsia="Times New Roman" w:hAnsi="Arial" w:cs="Arial"/>
            <w:color w:val="0000FF"/>
            <w:sz w:val="15"/>
            <w:szCs w:val="15"/>
            <w:u w:val="single"/>
            <w:vertAlign w:val="superscript"/>
            <w:lang w:eastAsia="en-IN"/>
          </w:rPr>
          <w:t>2</w:t>
        </w:r>
      </w:hyperlink>
      <w:r w:rsidRPr="00B737F0">
        <w:rPr>
          <w:rFonts w:ascii="Arial" w:eastAsia="Times New Roman" w:hAnsi="Arial" w:cs="Arial"/>
          <w:color w:val="000000"/>
          <w:sz w:val="20"/>
          <w:szCs w:val="20"/>
          <w:lang w:eastAsia="en-IN"/>
        </w:rPr>
        <w:t>;</w:t>
      </w:r>
    </w:p>
    <w:p w:rsidR="00B737F0" w:rsidRPr="00B737F0" w:rsidRDefault="00B737F0" w:rsidP="00B737F0">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B737F0">
        <w:rPr>
          <w:rFonts w:ascii="Arial" w:eastAsia="Times New Roman" w:hAnsi="Arial" w:cs="Arial"/>
          <w:color w:val="000000"/>
          <w:sz w:val="20"/>
          <w:szCs w:val="20"/>
          <w:lang w:eastAsia="en-IN"/>
        </w:rPr>
        <w:t>Guarantees issued under the Credit Guarantee Schemes of Credit Guarantee Fund Trust for Micro and Small Enterprises (CGTMSE), Credit Risk Guarantee Fund Trust for Low Income Housing (CRGFTLIH) and individual schemes under National Credit Guarantee Trustee Company Ltd (NCGTC) subject to meeting the conditions of </w:t>
      </w:r>
      <w:hyperlink r:id="rId15" w:tgtFrame="_blank" w:history="1">
        <w:r w:rsidRPr="00B737F0">
          <w:rPr>
            <w:rFonts w:ascii="Arial" w:eastAsia="Times New Roman" w:hAnsi="Arial" w:cs="Arial"/>
            <w:color w:val="0000FF"/>
            <w:sz w:val="20"/>
            <w:szCs w:val="20"/>
            <w:u w:val="single"/>
            <w:lang w:eastAsia="en-IN"/>
          </w:rPr>
          <w:t>circular on ‘Review of Prudential Norms – Risk Weights for Exposures guaranteed by Credit Guarantee Schemes (CGS)’ dated September 07, 2022</w:t>
        </w:r>
      </w:hyperlink>
      <w:r w:rsidRPr="00B737F0">
        <w:rPr>
          <w:rFonts w:ascii="Arial" w:eastAsia="Times New Roman" w:hAnsi="Arial" w:cs="Arial"/>
          <w:color w:val="000000"/>
          <w:sz w:val="20"/>
          <w:szCs w:val="20"/>
          <w:lang w:eastAsia="en-IN"/>
        </w:rPr>
        <w:t>, as amended from time to time.</w:t>
      </w:r>
      <w:proofErr w:type="gramEnd"/>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B737F0">
        <w:rPr>
          <w:rFonts w:ascii="Arial" w:eastAsia="Times New Roman" w:hAnsi="Arial" w:cs="Arial"/>
          <w:color w:val="000000"/>
          <w:sz w:val="20"/>
          <w:szCs w:val="20"/>
          <w:lang w:eastAsia="en-IN"/>
        </w:rPr>
        <w:t>Provided that</w:t>
      </w:r>
      <w:proofErr w:type="gramEnd"/>
      <w:r w:rsidRPr="00B737F0">
        <w:rPr>
          <w:rFonts w:ascii="Arial" w:eastAsia="Times New Roman" w:hAnsi="Arial" w:cs="Arial"/>
          <w:color w:val="000000"/>
          <w:sz w:val="20"/>
          <w:szCs w:val="20"/>
          <w:lang w:eastAsia="en-IN"/>
        </w:rPr>
        <w:t xml:space="preserve"> to be eligible as a credit risk transfer instrument, guarantees shall be direct, explicit, irrevocable and unconditional.</w:t>
      </w:r>
    </w:p>
    <w:p w:rsidR="00B737F0" w:rsidRPr="00B737F0" w:rsidRDefault="00B737F0" w:rsidP="00B737F0">
      <w:pPr>
        <w:spacing w:before="100" w:beforeAutospacing="1" w:after="100" w:afterAutospacing="1" w:line="240" w:lineRule="auto"/>
        <w:jc w:val="both"/>
        <w:rPr>
          <w:rFonts w:ascii="Arial" w:eastAsia="Times New Roman" w:hAnsi="Arial" w:cs="Arial"/>
          <w:b/>
          <w:bCs/>
          <w:color w:val="000000"/>
          <w:sz w:val="20"/>
          <w:szCs w:val="20"/>
          <w:lang w:eastAsia="en-IN"/>
        </w:rPr>
      </w:pPr>
      <w:r w:rsidRPr="00B737F0">
        <w:rPr>
          <w:rFonts w:ascii="Arial" w:eastAsia="Times New Roman" w:hAnsi="Arial" w:cs="Arial"/>
          <w:b/>
          <w:bCs/>
          <w:color w:val="000000"/>
          <w:sz w:val="20"/>
          <w:szCs w:val="20"/>
          <w:lang w:eastAsia="en-IN"/>
        </w:rPr>
        <w:t>4. Exemptions from credit/investment concentration norms</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lastRenderedPageBreak/>
        <w:t>In addition to the exposures already exempted from credit/investment concentration norms in terms of paragraph 91 of MD on NBFC and paragraph 20 of MD on HFC, exposures listed below shall also be exempt from credit/investment concentration norms:</w:t>
      </w:r>
    </w:p>
    <w:p w:rsidR="00B737F0" w:rsidRPr="00B737F0" w:rsidRDefault="00B737F0" w:rsidP="00B737F0">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Exposure to the Government of India and State Governments which are eligible for zero percent risk weight under capital regulations applicable to NBFC</w:t>
      </w:r>
      <w:hyperlink r:id="rId16" w:anchor="FN3" w:history="1">
        <w:r w:rsidRPr="00B737F0">
          <w:rPr>
            <w:rFonts w:ascii="Arial" w:eastAsia="Times New Roman" w:hAnsi="Arial" w:cs="Arial"/>
            <w:color w:val="0000FF"/>
            <w:sz w:val="15"/>
            <w:szCs w:val="15"/>
            <w:u w:val="single"/>
            <w:vertAlign w:val="superscript"/>
            <w:lang w:eastAsia="en-IN"/>
          </w:rPr>
          <w:t>3</w:t>
        </w:r>
      </w:hyperlink>
      <w:r w:rsidRPr="00B737F0">
        <w:rPr>
          <w:rFonts w:ascii="Arial" w:eastAsia="Times New Roman" w:hAnsi="Arial" w:cs="Arial"/>
          <w:color w:val="000000"/>
          <w:sz w:val="20"/>
          <w:szCs w:val="20"/>
          <w:lang w:eastAsia="en-IN"/>
        </w:rPr>
        <w:t>;</w:t>
      </w:r>
    </w:p>
    <w:p w:rsidR="00B737F0" w:rsidRPr="00B737F0" w:rsidRDefault="00B737F0" w:rsidP="00B737F0">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 xml:space="preserve">Exposure where the principal and interest </w:t>
      </w:r>
      <w:proofErr w:type="gramStart"/>
      <w:r w:rsidRPr="00B737F0">
        <w:rPr>
          <w:rFonts w:ascii="Arial" w:eastAsia="Times New Roman" w:hAnsi="Arial" w:cs="Arial"/>
          <w:color w:val="000000"/>
          <w:sz w:val="20"/>
          <w:szCs w:val="20"/>
          <w:lang w:eastAsia="en-IN"/>
        </w:rPr>
        <w:t>are fully guaranteed</w:t>
      </w:r>
      <w:proofErr w:type="gramEnd"/>
      <w:r w:rsidRPr="00B737F0">
        <w:rPr>
          <w:rFonts w:ascii="Arial" w:eastAsia="Times New Roman" w:hAnsi="Arial" w:cs="Arial"/>
          <w:color w:val="000000"/>
          <w:sz w:val="20"/>
          <w:szCs w:val="20"/>
          <w:lang w:eastAsia="en-IN"/>
        </w:rPr>
        <w:t xml:space="preserve"> by the Government of India</w:t>
      </w:r>
      <w:hyperlink r:id="rId17" w:anchor="FN3" w:history="1">
        <w:r w:rsidRPr="00B737F0">
          <w:rPr>
            <w:rFonts w:ascii="Arial" w:eastAsia="Times New Roman" w:hAnsi="Arial" w:cs="Arial"/>
            <w:color w:val="0000FF"/>
            <w:sz w:val="15"/>
            <w:szCs w:val="15"/>
            <w:u w:val="single"/>
            <w:vertAlign w:val="superscript"/>
            <w:lang w:eastAsia="en-IN"/>
          </w:rPr>
          <w:t>3</w:t>
        </w:r>
      </w:hyperlink>
      <w:r w:rsidRPr="00B737F0">
        <w:rPr>
          <w:rFonts w:ascii="Arial" w:eastAsia="Times New Roman" w:hAnsi="Arial" w:cs="Arial"/>
          <w:color w:val="000000"/>
          <w:sz w:val="20"/>
          <w:szCs w:val="20"/>
          <w:lang w:eastAsia="en-IN"/>
        </w:rPr>
        <w:t>.</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5. </w:t>
      </w:r>
      <w:r w:rsidRPr="00B737F0">
        <w:rPr>
          <w:rFonts w:ascii="Arial" w:eastAsia="Times New Roman" w:hAnsi="Arial" w:cs="Arial"/>
          <w:b/>
          <w:bCs/>
          <w:color w:val="000000"/>
          <w:sz w:val="20"/>
          <w:szCs w:val="20"/>
          <w:lang w:eastAsia="en-IN"/>
        </w:rPr>
        <w:t>Disclosure:</w:t>
      </w:r>
      <w:r w:rsidRPr="00B737F0">
        <w:rPr>
          <w:rFonts w:ascii="Arial" w:eastAsia="Times New Roman" w:hAnsi="Arial" w:cs="Arial"/>
          <w:color w:val="000000"/>
          <w:sz w:val="20"/>
          <w:szCs w:val="20"/>
          <w:lang w:eastAsia="en-IN"/>
        </w:rPr>
        <w:t xml:space="preserve"> The exposures where the NBFC has exceeded the prudential exposure limits during the year </w:t>
      </w:r>
      <w:proofErr w:type="gramStart"/>
      <w:r w:rsidRPr="00B737F0">
        <w:rPr>
          <w:rFonts w:ascii="Arial" w:eastAsia="Times New Roman" w:hAnsi="Arial" w:cs="Arial"/>
          <w:color w:val="000000"/>
          <w:sz w:val="20"/>
          <w:szCs w:val="20"/>
          <w:lang w:eastAsia="en-IN"/>
        </w:rPr>
        <w:t>are required to be disclosed</w:t>
      </w:r>
      <w:proofErr w:type="gramEnd"/>
      <w:r w:rsidRPr="00B737F0">
        <w:rPr>
          <w:rFonts w:ascii="Arial" w:eastAsia="Times New Roman" w:hAnsi="Arial" w:cs="Arial"/>
          <w:color w:val="000000"/>
          <w:sz w:val="20"/>
          <w:szCs w:val="20"/>
          <w:lang w:eastAsia="en-IN"/>
        </w:rPr>
        <w:t xml:space="preserve"> in the Notes to Accounts in the annual financial statements, presently as per paragraph 3.5.4 of Annex XXII of the MD on NBFC and paragraph 3.7.4 of Annex IV of the MD on HFC. Henceforth, computation of exposure limit for disclosure requirements </w:t>
      </w:r>
      <w:proofErr w:type="gramStart"/>
      <w:r w:rsidRPr="00B737F0">
        <w:rPr>
          <w:rFonts w:ascii="Arial" w:eastAsia="Times New Roman" w:hAnsi="Arial" w:cs="Arial"/>
          <w:color w:val="000000"/>
          <w:sz w:val="20"/>
          <w:szCs w:val="20"/>
          <w:lang w:eastAsia="en-IN"/>
        </w:rPr>
        <w:t>shall be reckoned</w:t>
      </w:r>
      <w:proofErr w:type="gramEnd"/>
      <w:r w:rsidRPr="00B737F0">
        <w:rPr>
          <w:rFonts w:ascii="Arial" w:eastAsia="Times New Roman" w:hAnsi="Arial" w:cs="Arial"/>
          <w:color w:val="000000"/>
          <w:sz w:val="20"/>
          <w:szCs w:val="20"/>
          <w:lang w:eastAsia="en-IN"/>
        </w:rPr>
        <w:t xml:space="preserve"> as per paragraphs 3 and 4 of this circular.</w:t>
      </w:r>
    </w:p>
    <w:p w:rsidR="00B737F0" w:rsidRPr="00B737F0" w:rsidRDefault="00B737F0" w:rsidP="00B737F0">
      <w:pPr>
        <w:spacing w:before="100" w:beforeAutospacing="1" w:after="100" w:afterAutospacing="1" w:line="240" w:lineRule="auto"/>
        <w:jc w:val="both"/>
        <w:rPr>
          <w:rFonts w:ascii="Arial" w:eastAsia="Times New Roman" w:hAnsi="Arial" w:cs="Arial"/>
          <w:b/>
          <w:bCs/>
          <w:color w:val="000000"/>
          <w:sz w:val="20"/>
          <w:szCs w:val="20"/>
          <w:lang w:eastAsia="en-IN"/>
        </w:rPr>
      </w:pPr>
      <w:r w:rsidRPr="00B737F0">
        <w:rPr>
          <w:rFonts w:ascii="Arial" w:eastAsia="Times New Roman" w:hAnsi="Arial" w:cs="Arial"/>
          <w:b/>
          <w:bCs/>
          <w:color w:val="000000"/>
          <w:sz w:val="20"/>
          <w:szCs w:val="20"/>
          <w:u w:val="single"/>
          <w:lang w:eastAsia="en-IN"/>
        </w:rPr>
        <w:t>B. Regulations for NBFC-BL</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 xml:space="preserve">6. NBFC-BL shall put in place an internal Board approved policy for credit/investment concentration limits for both single borrower/party and single group of borrowers/parties. Computation of exposure shall be on similar lines as that for NBFC-ML as given at paragraphs </w:t>
      </w:r>
      <w:proofErr w:type="gramStart"/>
      <w:r w:rsidRPr="00B737F0">
        <w:rPr>
          <w:rFonts w:ascii="Arial" w:eastAsia="Times New Roman" w:hAnsi="Arial" w:cs="Arial"/>
          <w:color w:val="000000"/>
          <w:sz w:val="20"/>
          <w:szCs w:val="20"/>
          <w:lang w:eastAsia="en-IN"/>
        </w:rPr>
        <w:t>3</w:t>
      </w:r>
      <w:proofErr w:type="gramEnd"/>
      <w:r w:rsidRPr="00B737F0">
        <w:rPr>
          <w:rFonts w:ascii="Arial" w:eastAsia="Times New Roman" w:hAnsi="Arial" w:cs="Arial"/>
          <w:color w:val="000000"/>
          <w:sz w:val="20"/>
          <w:szCs w:val="20"/>
          <w:lang w:eastAsia="en-IN"/>
        </w:rPr>
        <w:t xml:space="preserve"> and 4 of this circular.</w:t>
      </w:r>
    </w:p>
    <w:p w:rsidR="00B737F0" w:rsidRPr="00B737F0" w:rsidRDefault="00B737F0" w:rsidP="00B737F0">
      <w:pPr>
        <w:spacing w:before="100" w:beforeAutospacing="1" w:after="100" w:afterAutospacing="1" w:line="240" w:lineRule="auto"/>
        <w:jc w:val="both"/>
        <w:rPr>
          <w:rFonts w:ascii="Arial" w:eastAsia="Times New Roman" w:hAnsi="Arial" w:cs="Arial"/>
          <w:b/>
          <w:bCs/>
          <w:color w:val="000000"/>
          <w:sz w:val="20"/>
          <w:szCs w:val="20"/>
          <w:lang w:eastAsia="en-IN"/>
        </w:rPr>
      </w:pPr>
      <w:r w:rsidRPr="00B737F0">
        <w:rPr>
          <w:rFonts w:ascii="Arial" w:eastAsia="Times New Roman" w:hAnsi="Arial" w:cs="Arial"/>
          <w:b/>
          <w:bCs/>
          <w:color w:val="000000"/>
          <w:sz w:val="20"/>
          <w:szCs w:val="20"/>
          <w:u w:val="single"/>
          <w:lang w:eastAsia="en-IN"/>
        </w:rPr>
        <w:t>C. Regulations for NBFC-UL</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 xml:space="preserve">7. A reference is drawn to paragraph 110.4.2 of MD on </w:t>
      </w:r>
      <w:proofErr w:type="gramStart"/>
      <w:r w:rsidRPr="00B737F0">
        <w:rPr>
          <w:rFonts w:ascii="Arial" w:eastAsia="Times New Roman" w:hAnsi="Arial" w:cs="Arial"/>
          <w:color w:val="000000"/>
          <w:sz w:val="20"/>
          <w:szCs w:val="20"/>
          <w:lang w:eastAsia="en-IN"/>
        </w:rPr>
        <w:t>NBFC which</w:t>
      </w:r>
      <w:proofErr w:type="gramEnd"/>
      <w:r w:rsidRPr="00B737F0">
        <w:rPr>
          <w:rFonts w:ascii="Arial" w:eastAsia="Times New Roman" w:hAnsi="Arial" w:cs="Arial"/>
          <w:color w:val="000000"/>
          <w:sz w:val="20"/>
          <w:szCs w:val="20"/>
          <w:lang w:eastAsia="en-IN"/>
        </w:rPr>
        <w:t xml:space="preserve"> lists out the credit risk transfer instruments. It </w:t>
      </w:r>
      <w:proofErr w:type="gramStart"/>
      <w:r w:rsidRPr="00B737F0">
        <w:rPr>
          <w:rFonts w:ascii="Arial" w:eastAsia="Times New Roman" w:hAnsi="Arial" w:cs="Arial"/>
          <w:color w:val="000000"/>
          <w:sz w:val="20"/>
          <w:szCs w:val="20"/>
          <w:lang w:eastAsia="en-IN"/>
        </w:rPr>
        <w:t>is clarified</w:t>
      </w:r>
      <w:proofErr w:type="gramEnd"/>
      <w:r w:rsidRPr="00B737F0">
        <w:rPr>
          <w:rFonts w:ascii="Arial" w:eastAsia="Times New Roman" w:hAnsi="Arial" w:cs="Arial"/>
          <w:color w:val="000000"/>
          <w:sz w:val="20"/>
          <w:szCs w:val="20"/>
          <w:lang w:eastAsia="en-IN"/>
        </w:rPr>
        <w:t xml:space="preserve"> that to be eligible as a credit risk transfer instrument, guarantees shall be direct, explicit, irrevocable and unconditional.</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8. The above instructions shall come into force from the date of issuance of the circular.</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9. All other terms and conditions for LEF and credit/investment concentration norms shall continue as per the extant instructions.</w:t>
      </w:r>
    </w:p>
    <w:p w:rsidR="00B737F0" w:rsidRPr="00B737F0" w:rsidRDefault="00B737F0" w:rsidP="00B737F0">
      <w:pPr>
        <w:spacing w:before="100" w:beforeAutospacing="1" w:after="100" w:afterAutospacing="1" w:line="240" w:lineRule="auto"/>
        <w:jc w:val="both"/>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Yours faithfully,</w:t>
      </w:r>
    </w:p>
    <w:p w:rsidR="00B737F0" w:rsidRPr="00B737F0" w:rsidRDefault="00B737F0" w:rsidP="00B737F0">
      <w:pPr>
        <w:spacing w:before="100" w:beforeAutospacing="1" w:after="100" w:afterAutospacing="1" w:line="240" w:lineRule="auto"/>
        <w:rPr>
          <w:rFonts w:ascii="Arial" w:eastAsia="Times New Roman" w:hAnsi="Arial" w:cs="Arial"/>
          <w:color w:val="000000"/>
          <w:sz w:val="20"/>
          <w:szCs w:val="20"/>
          <w:lang w:eastAsia="en-IN"/>
        </w:rPr>
      </w:pPr>
      <w:r w:rsidRPr="00B737F0">
        <w:rPr>
          <w:rFonts w:ascii="Arial" w:eastAsia="Times New Roman" w:hAnsi="Arial" w:cs="Arial"/>
          <w:color w:val="000000"/>
          <w:sz w:val="20"/>
          <w:szCs w:val="20"/>
          <w:lang w:eastAsia="en-IN"/>
        </w:rPr>
        <w:t>(</w:t>
      </w:r>
      <w:proofErr w:type="spellStart"/>
      <w:r w:rsidRPr="00B737F0">
        <w:rPr>
          <w:rFonts w:ascii="Arial" w:eastAsia="Times New Roman" w:hAnsi="Arial" w:cs="Arial"/>
          <w:color w:val="000000"/>
          <w:sz w:val="20"/>
          <w:szCs w:val="20"/>
          <w:lang w:eastAsia="en-IN"/>
        </w:rPr>
        <w:t>Vaibhav</w:t>
      </w:r>
      <w:proofErr w:type="spellEnd"/>
      <w:r w:rsidRPr="00B737F0">
        <w:rPr>
          <w:rFonts w:ascii="Arial" w:eastAsia="Times New Roman" w:hAnsi="Arial" w:cs="Arial"/>
          <w:color w:val="000000"/>
          <w:sz w:val="20"/>
          <w:szCs w:val="20"/>
          <w:lang w:eastAsia="en-IN"/>
        </w:rPr>
        <w:t xml:space="preserve"> </w:t>
      </w:r>
      <w:proofErr w:type="spellStart"/>
      <w:r w:rsidRPr="00B737F0">
        <w:rPr>
          <w:rFonts w:ascii="Arial" w:eastAsia="Times New Roman" w:hAnsi="Arial" w:cs="Arial"/>
          <w:color w:val="000000"/>
          <w:sz w:val="20"/>
          <w:szCs w:val="20"/>
          <w:lang w:eastAsia="en-IN"/>
        </w:rPr>
        <w:t>Chaturvedi</w:t>
      </w:r>
      <w:proofErr w:type="spellEnd"/>
      <w:r w:rsidRPr="00B737F0">
        <w:rPr>
          <w:rFonts w:ascii="Arial" w:eastAsia="Times New Roman" w:hAnsi="Arial" w:cs="Arial"/>
          <w:color w:val="000000"/>
          <w:sz w:val="20"/>
          <w:szCs w:val="20"/>
          <w:lang w:eastAsia="en-IN"/>
        </w:rPr>
        <w:t>)</w:t>
      </w:r>
      <w:r w:rsidRPr="00B737F0">
        <w:rPr>
          <w:rFonts w:ascii="Arial" w:eastAsia="Times New Roman" w:hAnsi="Arial" w:cs="Arial"/>
          <w:color w:val="000000"/>
          <w:sz w:val="20"/>
          <w:szCs w:val="20"/>
          <w:lang w:eastAsia="en-IN"/>
        </w:rPr>
        <w:br/>
        <w:t>Chief General Manager</w:t>
      </w:r>
    </w:p>
    <w:p w:rsidR="00B737F0" w:rsidRDefault="00B737F0" w:rsidP="001A16F7">
      <w:pPr>
        <w:pStyle w:val="NormalWeb"/>
        <w:rPr>
          <w:rFonts w:ascii="Arial" w:hAnsi="Arial" w:cs="Arial"/>
          <w:color w:val="000000"/>
          <w:sz w:val="20"/>
          <w:szCs w:val="20"/>
        </w:rPr>
      </w:pPr>
      <w:r w:rsidRPr="00B737F0">
        <w:rPr>
          <w:rFonts w:ascii="Arial" w:hAnsi="Arial" w:cs="Arial"/>
          <w:color w:val="000000"/>
          <w:sz w:val="20"/>
          <w:szCs w:val="20"/>
        </w:rPr>
        <w:t>For more details, kindly refer:</w:t>
      </w:r>
    </w:p>
    <w:p w:rsidR="00B737F0" w:rsidRDefault="00B737F0" w:rsidP="001A16F7">
      <w:pPr>
        <w:pStyle w:val="NormalWeb"/>
        <w:rPr>
          <w:rFonts w:ascii="Arial" w:hAnsi="Arial" w:cs="Arial"/>
          <w:color w:val="000000"/>
          <w:sz w:val="20"/>
          <w:szCs w:val="20"/>
        </w:rPr>
      </w:pPr>
      <w:hyperlink r:id="rId18" w:history="1">
        <w:r w:rsidRPr="00692C03">
          <w:rPr>
            <w:rStyle w:val="Hyperlink"/>
            <w:rFonts w:ascii="Arial" w:hAnsi="Arial" w:cs="Arial"/>
            <w:sz w:val="20"/>
            <w:szCs w:val="20"/>
          </w:rPr>
          <w:t>https://www.rbi.org.in/Scripts/NotificationUser.aspx?Id=12598&amp;Mode=0</w:t>
        </w:r>
      </w:hyperlink>
      <w:r>
        <w:rPr>
          <w:rFonts w:ascii="Arial" w:hAnsi="Arial" w:cs="Arial"/>
          <w:color w:val="000000"/>
          <w:sz w:val="20"/>
          <w:szCs w:val="20"/>
        </w:rPr>
        <w:t xml:space="preserve"> </w:t>
      </w:r>
    </w:p>
    <w:p w:rsidR="00885D87" w:rsidRDefault="00885D87" w:rsidP="001A16F7">
      <w:pPr>
        <w:pStyle w:val="NormalWeb"/>
        <w:rPr>
          <w:rFonts w:ascii="Arial" w:hAnsi="Arial" w:cs="Arial"/>
          <w:color w:val="000000"/>
          <w:sz w:val="20"/>
          <w:szCs w:val="20"/>
        </w:rPr>
      </w:pPr>
    </w:p>
    <w:p w:rsidR="00885D87" w:rsidRDefault="00885D87" w:rsidP="001A16F7">
      <w:pPr>
        <w:pStyle w:val="NormalWeb"/>
        <w:rPr>
          <w:rFonts w:ascii="Arial" w:hAnsi="Arial" w:cs="Arial"/>
          <w:color w:val="000000"/>
          <w:sz w:val="20"/>
          <w:szCs w:val="20"/>
        </w:rPr>
      </w:pPr>
    </w:p>
    <w:p w:rsidR="00885D87" w:rsidRDefault="00885D87" w:rsidP="001A16F7">
      <w:pPr>
        <w:pStyle w:val="NormalWeb"/>
        <w:rPr>
          <w:rFonts w:ascii="Arial" w:hAnsi="Arial" w:cs="Arial"/>
          <w:color w:val="000000"/>
          <w:sz w:val="20"/>
          <w:szCs w:val="20"/>
        </w:rPr>
      </w:pPr>
    </w:p>
    <w:p w:rsidR="00885D87" w:rsidRDefault="00885D87" w:rsidP="001A16F7">
      <w:pPr>
        <w:pStyle w:val="NormalWeb"/>
        <w:rPr>
          <w:rFonts w:ascii="Arial" w:hAnsi="Arial" w:cs="Arial"/>
          <w:color w:val="000000"/>
          <w:sz w:val="20"/>
          <w:szCs w:val="20"/>
        </w:rPr>
      </w:pPr>
    </w:p>
    <w:p w:rsidR="00885D87" w:rsidRDefault="00885D87" w:rsidP="001A16F7">
      <w:pPr>
        <w:pStyle w:val="NormalWeb"/>
        <w:rPr>
          <w:rFonts w:ascii="Arial" w:hAnsi="Arial" w:cs="Arial"/>
          <w:color w:val="000000"/>
          <w:sz w:val="20"/>
          <w:szCs w:val="20"/>
        </w:rPr>
      </w:pPr>
    </w:p>
    <w:p w:rsidR="00885D87" w:rsidRDefault="00885D87" w:rsidP="001A16F7">
      <w:pPr>
        <w:pStyle w:val="NormalWeb"/>
        <w:rPr>
          <w:rFonts w:ascii="Arial" w:hAnsi="Arial" w:cs="Arial"/>
          <w:color w:val="000000"/>
          <w:sz w:val="20"/>
          <w:szCs w:val="20"/>
        </w:rPr>
      </w:pPr>
    </w:p>
    <w:p w:rsidR="00885D87" w:rsidRDefault="00885D87" w:rsidP="001A16F7">
      <w:pPr>
        <w:pStyle w:val="NormalWeb"/>
        <w:rPr>
          <w:rFonts w:ascii="Arial" w:hAnsi="Arial" w:cs="Arial"/>
          <w:color w:val="000000"/>
          <w:sz w:val="20"/>
          <w:szCs w:val="20"/>
        </w:rPr>
      </w:pPr>
    </w:p>
    <w:p w:rsidR="00885D87" w:rsidRDefault="00885D87" w:rsidP="001A16F7">
      <w:pPr>
        <w:pStyle w:val="NormalWeb"/>
        <w:rPr>
          <w:rFonts w:ascii="Arial" w:hAnsi="Arial" w:cs="Arial"/>
          <w:color w:val="000000"/>
          <w:sz w:val="20"/>
          <w:szCs w:val="20"/>
        </w:rPr>
      </w:pPr>
    </w:p>
    <w:p w:rsidR="00885D87" w:rsidRPr="00885D87" w:rsidRDefault="00885D87" w:rsidP="00885D87">
      <w:pPr>
        <w:spacing w:before="100" w:beforeAutospacing="1" w:after="100" w:afterAutospacing="1" w:line="240" w:lineRule="auto"/>
        <w:jc w:val="both"/>
        <w:rPr>
          <w:rFonts w:ascii="Arial" w:eastAsia="Times New Roman" w:hAnsi="Arial" w:cs="Arial"/>
          <w:b/>
          <w:bCs/>
          <w:color w:val="000000"/>
          <w:sz w:val="20"/>
          <w:szCs w:val="20"/>
          <w:lang w:eastAsia="en-IN"/>
        </w:rPr>
      </w:pPr>
      <w:r w:rsidRPr="00885D87">
        <w:rPr>
          <w:rFonts w:ascii="Arial" w:eastAsia="Times New Roman" w:hAnsi="Arial" w:cs="Arial"/>
          <w:b/>
          <w:bCs/>
          <w:color w:val="000000"/>
          <w:sz w:val="20"/>
          <w:szCs w:val="20"/>
          <w:lang w:eastAsia="en-IN"/>
        </w:rPr>
        <w:lastRenderedPageBreak/>
        <w:t>Amendment to Master Direction on Prepaid Payment Instruments</w:t>
      </w:r>
    </w:p>
    <w:p w:rsidR="00885D87" w:rsidRPr="00885D87" w:rsidRDefault="00885D87" w:rsidP="00885D87">
      <w:pPr>
        <w:spacing w:before="100" w:beforeAutospacing="1" w:after="100" w:afterAutospacing="1" w:line="240" w:lineRule="auto"/>
        <w:jc w:val="both"/>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RBI/2023-24/126</w:t>
      </w:r>
      <w:r w:rsidRPr="00885D87">
        <w:rPr>
          <w:rFonts w:ascii="Arial" w:eastAsia="Times New Roman" w:hAnsi="Arial" w:cs="Arial"/>
          <w:color w:val="000000"/>
          <w:sz w:val="20"/>
          <w:szCs w:val="20"/>
          <w:lang w:eastAsia="en-IN"/>
        </w:rPr>
        <w:br/>
        <w:t>CO.DPSS.POLC.No.S1092/02-14-006/2023-2024</w:t>
      </w:r>
    </w:p>
    <w:p w:rsidR="00885D87" w:rsidRPr="00885D87" w:rsidRDefault="00885D87" w:rsidP="00885D87">
      <w:pPr>
        <w:spacing w:before="100" w:beforeAutospacing="1" w:after="100" w:afterAutospacing="1" w:line="240" w:lineRule="auto"/>
        <w:jc w:val="right"/>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February 23, 2024</w:t>
      </w:r>
    </w:p>
    <w:p w:rsidR="00885D87" w:rsidRPr="00885D87" w:rsidRDefault="00885D87" w:rsidP="00885D87">
      <w:pPr>
        <w:spacing w:before="100" w:beforeAutospacing="1" w:after="100" w:afterAutospacing="1" w:line="240" w:lineRule="auto"/>
        <w:jc w:val="both"/>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All Prepaid Payment Instrument Issuers (Banks and Non-banks) and System Participants</w:t>
      </w:r>
    </w:p>
    <w:p w:rsidR="00885D87" w:rsidRPr="00885D87" w:rsidRDefault="00885D87" w:rsidP="00885D87">
      <w:pPr>
        <w:spacing w:before="100" w:beforeAutospacing="1" w:after="100" w:afterAutospacing="1" w:line="240" w:lineRule="auto"/>
        <w:jc w:val="both"/>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Madam / Dear Sir,</w:t>
      </w:r>
    </w:p>
    <w:p w:rsidR="00885D87" w:rsidRPr="00885D87" w:rsidRDefault="00885D87" w:rsidP="00885D87">
      <w:pPr>
        <w:spacing w:before="100" w:beforeAutospacing="1" w:after="100" w:afterAutospacing="1" w:line="240" w:lineRule="auto"/>
        <w:jc w:val="both"/>
        <w:rPr>
          <w:rFonts w:ascii="Arial" w:eastAsia="Times New Roman" w:hAnsi="Arial" w:cs="Arial"/>
          <w:b/>
          <w:bCs/>
          <w:color w:val="000000"/>
          <w:sz w:val="20"/>
          <w:szCs w:val="20"/>
          <w:lang w:eastAsia="en-IN"/>
        </w:rPr>
      </w:pPr>
      <w:r w:rsidRPr="00885D87">
        <w:rPr>
          <w:rFonts w:ascii="Arial" w:eastAsia="Times New Roman" w:hAnsi="Arial" w:cs="Arial"/>
          <w:b/>
          <w:bCs/>
          <w:color w:val="000000"/>
          <w:sz w:val="20"/>
          <w:szCs w:val="20"/>
          <w:lang w:eastAsia="en-IN"/>
        </w:rPr>
        <w:t>Amendment to Master Direction on Prepaid Payment Instruments</w:t>
      </w:r>
    </w:p>
    <w:p w:rsidR="00885D87" w:rsidRPr="00885D87" w:rsidRDefault="00885D87" w:rsidP="00885D87">
      <w:pPr>
        <w:spacing w:before="100" w:beforeAutospacing="1" w:after="100" w:afterAutospacing="1" w:line="240" w:lineRule="auto"/>
        <w:jc w:val="both"/>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This has reference to the </w:t>
      </w:r>
      <w:hyperlink r:id="rId19" w:tgtFrame="_blank" w:history="1">
        <w:r w:rsidRPr="00885D87">
          <w:rPr>
            <w:rFonts w:ascii="Arial" w:eastAsia="Times New Roman" w:hAnsi="Arial" w:cs="Arial"/>
            <w:color w:val="0000FF"/>
            <w:sz w:val="20"/>
            <w:szCs w:val="20"/>
            <w:u w:val="single"/>
            <w:lang w:eastAsia="en-IN"/>
          </w:rPr>
          <w:t>Master Directions CO.DPSS.POLC.No.S-479/02.14.006/2021-22 dated August 27, 2021</w:t>
        </w:r>
      </w:hyperlink>
      <w:r w:rsidRPr="00885D87">
        <w:rPr>
          <w:rFonts w:ascii="Arial" w:eastAsia="Times New Roman" w:hAnsi="Arial" w:cs="Arial"/>
          <w:color w:val="000000"/>
          <w:sz w:val="20"/>
          <w:szCs w:val="20"/>
          <w:lang w:eastAsia="en-IN"/>
        </w:rPr>
        <w:t> on Prepaid Payment Instruments (MD-PPIs) (as amended from time to time), which prescribes, </w:t>
      </w:r>
      <w:r w:rsidRPr="00885D87">
        <w:rPr>
          <w:rFonts w:ascii="Arial" w:eastAsia="Times New Roman" w:hAnsi="Arial" w:cs="Arial"/>
          <w:i/>
          <w:iCs/>
          <w:color w:val="000000"/>
          <w:sz w:val="20"/>
          <w:szCs w:val="20"/>
          <w:lang w:eastAsia="en-IN"/>
        </w:rPr>
        <w:t>inter alia</w:t>
      </w:r>
      <w:r w:rsidRPr="00885D87">
        <w:rPr>
          <w:rFonts w:ascii="Arial" w:eastAsia="Times New Roman" w:hAnsi="Arial" w:cs="Arial"/>
          <w:color w:val="000000"/>
          <w:sz w:val="20"/>
          <w:szCs w:val="20"/>
          <w:lang w:eastAsia="en-IN"/>
        </w:rPr>
        <w:t>, the various types of PPIs which banks and non-banks can issue after obtaining necessary approval / authorisation from RBI.</w:t>
      </w:r>
    </w:p>
    <w:p w:rsidR="00885D87" w:rsidRPr="00885D87" w:rsidRDefault="00885D87" w:rsidP="00885D87">
      <w:pPr>
        <w:spacing w:before="100" w:beforeAutospacing="1" w:after="100" w:afterAutospacing="1" w:line="240" w:lineRule="auto"/>
        <w:jc w:val="both"/>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 xml:space="preserve">2. Public transport systems across the country cater to a multitude of commuters on a daily basis. To provide convenience, speed, affordability, and safety of digital modes of payment to commuters for transit services, it </w:t>
      </w:r>
      <w:proofErr w:type="gramStart"/>
      <w:r w:rsidRPr="00885D87">
        <w:rPr>
          <w:rFonts w:ascii="Arial" w:eastAsia="Times New Roman" w:hAnsi="Arial" w:cs="Arial"/>
          <w:color w:val="000000"/>
          <w:sz w:val="20"/>
          <w:szCs w:val="20"/>
          <w:lang w:eastAsia="en-IN"/>
        </w:rPr>
        <w:t>has been decided</w:t>
      </w:r>
      <w:proofErr w:type="gramEnd"/>
      <w:r w:rsidRPr="00885D87">
        <w:rPr>
          <w:rFonts w:ascii="Arial" w:eastAsia="Times New Roman" w:hAnsi="Arial" w:cs="Arial"/>
          <w:color w:val="000000"/>
          <w:sz w:val="20"/>
          <w:szCs w:val="20"/>
          <w:lang w:eastAsia="en-IN"/>
        </w:rPr>
        <w:t xml:space="preserve"> to permit authorised bank and non-bank PPI issuers to issue PPIs for making payments across various public transport systems. The MD-PPIs </w:t>
      </w:r>
      <w:proofErr w:type="gramStart"/>
      <w:r w:rsidRPr="00885D87">
        <w:rPr>
          <w:rFonts w:ascii="Arial" w:eastAsia="Times New Roman" w:hAnsi="Arial" w:cs="Arial"/>
          <w:color w:val="000000"/>
          <w:sz w:val="20"/>
          <w:szCs w:val="20"/>
          <w:lang w:eastAsia="en-IN"/>
        </w:rPr>
        <w:t>has been updated</w:t>
      </w:r>
      <w:proofErr w:type="gramEnd"/>
      <w:r w:rsidRPr="00885D87">
        <w:rPr>
          <w:rFonts w:ascii="Arial" w:eastAsia="Times New Roman" w:hAnsi="Arial" w:cs="Arial"/>
          <w:color w:val="000000"/>
          <w:sz w:val="20"/>
          <w:szCs w:val="20"/>
          <w:lang w:eastAsia="en-IN"/>
        </w:rPr>
        <w:t xml:space="preserve"> by revising paragraph 10.2 thereof.</w:t>
      </w:r>
    </w:p>
    <w:p w:rsidR="00885D87" w:rsidRPr="00885D87" w:rsidRDefault="00885D87" w:rsidP="00885D87">
      <w:pPr>
        <w:spacing w:before="100" w:beforeAutospacing="1" w:after="100" w:afterAutospacing="1" w:line="240" w:lineRule="auto"/>
        <w:jc w:val="both"/>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 xml:space="preserve">3. These instructions </w:t>
      </w:r>
      <w:proofErr w:type="gramStart"/>
      <w:r w:rsidRPr="00885D87">
        <w:rPr>
          <w:rFonts w:ascii="Arial" w:eastAsia="Times New Roman" w:hAnsi="Arial" w:cs="Arial"/>
          <w:color w:val="000000"/>
          <w:sz w:val="20"/>
          <w:szCs w:val="20"/>
          <w:lang w:eastAsia="en-IN"/>
        </w:rPr>
        <w:t>are issued</w:t>
      </w:r>
      <w:proofErr w:type="gramEnd"/>
      <w:r w:rsidRPr="00885D87">
        <w:rPr>
          <w:rFonts w:ascii="Arial" w:eastAsia="Times New Roman" w:hAnsi="Arial" w:cs="Arial"/>
          <w:color w:val="000000"/>
          <w:sz w:val="20"/>
          <w:szCs w:val="20"/>
          <w:lang w:eastAsia="en-IN"/>
        </w:rPr>
        <w:t xml:space="preserve"> under Section 18 read with Section 10 (2) of Payment and Settlement Systems Act, 2007 (Act 51 of 2007). These instructions shall come into effect immediately.</w:t>
      </w:r>
    </w:p>
    <w:p w:rsidR="00885D87" w:rsidRPr="00885D87" w:rsidRDefault="00885D87" w:rsidP="00885D87">
      <w:pPr>
        <w:spacing w:before="100" w:beforeAutospacing="1" w:after="100" w:afterAutospacing="1" w:line="240" w:lineRule="auto"/>
        <w:jc w:val="both"/>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Yours faithfully,</w:t>
      </w:r>
    </w:p>
    <w:p w:rsidR="00885D87" w:rsidRDefault="00885D87" w:rsidP="00885D87">
      <w:pPr>
        <w:spacing w:before="100" w:beforeAutospacing="1" w:after="100" w:afterAutospacing="1" w:line="240" w:lineRule="auto"/>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w:t>
      </w:r>
      <w:proofErr w:type="spellStart"/>
      <w:r w:rsidRPr="00885D87">
        <w:rPr>
          <w:rFonts w:ascii="Arial" w:eastAsia="Times New Roman" w:hAnsi="Arial" w:cs="Arial"/>
          <w:color w:val="000000"/>
          <w:sz w:val="20"/>
          <w:szCs w:val="20"/>
          <w:lang w:eastAsia="en-IN"/>
        </w:rPr>
        <w:t>Gunveer</w:t>
      </w:r>
      <w:proofErr w:type="spellEnd"/>
      <w:r w:rsidRPr="00885D87">
        <w:rPr>
          <w:rFonts w:ascii="Arial" w:eastAsia="Times New Roman" w:hAnsi="Arial" w:cs="Arial"/>
          <w:color w:val="000000"/>
          <w:sz w:val="20"/>
          <w:szCs w:val="20"/>
          <w:lang w:eastAsia="en-IN"/>
        </w:rPr>
        <w:t xml:space="preserve"> Singh)</w:t>
      </w:r>
      <w:r w:rsidRPr="00885D87">
        <w:rPr>
          <w:rFonts w:ascii="Arial" w:eastAsia="Times New Roman" w:hAnsi="Arial" w:cs="Arial"/>
          <w:color w:val="000000"/>
          <w:sz w:val="20"/>
          <w:szCs w:val="20"/>
          <w:lang w:eastAsia="en-IN"/>
        </w:rPr>
        <w:br/>
        <w:t>Chief General Manager-in-Charge</w:t>
      </w:r>
    </w:p>
    <w:p w:rsidR="00885D87" w:rsidRDefault="00885D87" w:rsidP="00885D87">
      <w:pPr>
        <w:spacing w:before="100" w:beforeAutospacing="1" w:after="100" w:afterAutospacing="1" w:line="240" w:lineRule="auto"/>
        <w:rPr>
          <w:rFonts w:ascii="Arial" w:eastAsia="Times New Roman" w:hAnsi="Arial" w:cs="Arial"/>
          <w:color w:val="000000"/>
          <w:sz w:val="20"/>
          <w:szCs w:val="20"/>
          <w:lang w:eastAsia="en-IN"/>
        </w:rPr>
      </w:pPr>
      <w:r w:rsidRPr="00885D87">
        <w:rPr>
          <w:rFonts w:ascii="Arial" w:eastAsia="Times New Roman" w:hAnsi="Arial" w:cs="Arial"/>
          <w:color w:val="000000"/>
          <w:sz w:val="20"/>
          <w:szCs w:val="20"/>
          <w:lang w:eastAsia="en-IN"/>
        </w:rPr>
        <w:t>For more details, kindly refer:</w:t>
      </w:r>
    </w:p>
    <w:p w:rsidR="00885D87" w:rsidRDefault="00885D87" w:rsidP="00885D87">
      <w:pPr>
        <w:spacing w:before="100" w:beforeAutospacing="1" w:after="100" w:afterAutospacing="1" w:line="240" w:lineRule="auto"/>
        <w:rPr>
          <w:rFonts w:ascii="Arial" w:eastAsia="Times New Roman" w:hAnsi="Arial" w:cs="Arial"/>
          <w:color w:val="000000"/>
          <w:sz w:val="20"/>
          <w:szCs w:val="20"/>
          <w:lang w:eastAsia="en-IN"/>
        </w:rPr>
      </w:pPr>
      <w:hyperlink r:id="rId20" w:history="1">
        <w:r w:rsidRPr="00692C03">
          <w:rPr>
            <w:rStyle w:val="Hyperlink"/>
            <w:rFonts w:ascii="Arial" w:eastAsia="Times New Roman" w:hAnsi="Arial" w:cs="Arial"/>
            <w:sz w:val="20"/>
            <w:szCs w:val="20"/>
            <w:lang w:eastAsia="en-IN"/>
          </w:rPr>
          <w:t>https://www.rbi.org.in/Scripts/NotificationUser.aspx?Id=12612&amp;Mode=0</w:t>
        </w:r>
      </w:hyperlink>
      <w:r>
        <w:rPr>
          <w:rFonts w:ascii="Arial" w:eastAsia="Times New Roman" w:hAnsi="Arial" w:cs="Arial"/>
          <w:color w:val="000000"/>
          <w:sz w:val="20"/>
          <w:szCs w:val="20"/>
          <w:lang w:eastAsia="en-IN"/>
        </w:rPr>
        <w:t xml:space="preserve"> </w:t>
      </w: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5061D6" w:rsidRPr="005061D6" w:rsidRDefault="005061D6" w:rsidP="005061D6">
      <w:pPr>
        <w:spacing w:before="100" w:beforeAutospacing="1" w:after="100" w:afterAutospacing="1" w:line="240" w:lineRule="auto"/>
        <w:jc w:val="both"/>
        <w:rPr>
          <w:rFonts w:ascii="Arial" w:eastAsia="Times New Roman" w:hAnsi="Arial" w:cs="Arial"/>
          <w:b/>
          <w:bCs/>
          <w:color w:val="000000"/>
          <w:sz w:val="20"/>
          <w:szCs w:val="20"/>
          <w:lang w:eastAsia="en-IN"/>
        </w:rPr>
      </w:pPr>
      <w:r w:rsidRPr="005061D6">
        <w:rPr>
          <w:rFonts w:ascii="Arial" w:eastAsia="Times New Roman" w:hAnsi="Arial" w:cs="Arial"/>
          <w:b/>
          <w:bCs/>
          <w:color w:val="000000"/>
          <w:sz w:val="20"/>
          <w:szCs w:val="20"/>
          <w:lang w:eastAsia="en-IN"/>
        </w:rPr>
        <w:lastRenderedPageBreak/>
        <w:t>Arrangements with Card Networks for issue of Credit Cards</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RBI/2023-24/131</w:t>
      </w:r>
      <w:r w:rsidRPr="005061D6">
        <w:rPr>
          <w:rFonts w:ascii="Arial" w:eastAsia="Times New Roman" w:hAnsi="Arial" w:cs="Arial"/>
          <w:color w:val="000000"/>
          <w:sz w:val="20"/>
          <w:szCs w:val="20"/>
          <w:lang w:eastAsia="en-IN"/>
        </w:rPr>
        <w:br/>
        <w:t>CO.DPSS.POLC.No.S1133/02-14-003/2023-24</w:t>
      </w:r>
    </w:p>
    <w:p w:rsidR="005061D6" w:rsidRPr="005061D6" w:rsidRDefault="005061D6" w:rsidP="005061D6">
      <w:pPr>
        <w:spacing w:before="100" w:beforeAutospacing="1" w:after="100" w:afterAutospacing="1" w:line="240" w:lineRule="auto"/>
        <w:jc w:val="right"/>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March 06, 2024</w:t>
      </w:r>
    </w:p>
    <w:p w:rsidR="005061D6" w:rsidRPr="005061D6" w:rsidRDefault="005061D6" w:rsidP="005061D6">
      <w:pPr>
        <w:spacing w:before="100" w:beforeAutospacing="1" w:after="100" w:afterAutospacing="1" w:line="240" w:lineRule="auto"/>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The Chairman / Managing Director / Chief Executive Officer</w:t>
      </w:r>
      <w:r w:rsidRPr="005061D6">
        <w:rPr>
          <w:rFonts w:ascii="Arial" w:eastAsia="Times New Roman" w:hAnsi="Arial" w:cs="Arial"/>
          <w:color w:val="000000"/>
          <w:sz w:val="20"/>
          <w:szCs w:val="20"/>
          <w:lang w:eastAsia="en-IN"/>
        </w:rPr>
        <w:br/>
        <w:t>Authorised Payment System Providers / Participants (Banks and Non-banks)</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Madam / Dear Sir,</w:t>
      </w:r>
    </w:p>
    <w:p w:rsidR="005061D6" w:rsidRPr="005061D6" w:rsidRDefault="005061D6" w:rsidP="005061D6">
      <w:pPr>
        <w:spacing w:before="100" w:beforeAutospacing="1" w:after="100" w:afterAutospacing="1" w:line="240" w:lineRule="auto"/>
        <w:jc w:val="both"/>
        <w:rPr>
          <w:rFonts w:ascii="Arial" w:eastAsia="Times New Roman" w:hAnsi="Arial" w:cs="Arial"/>
          <w:b/>
          <w:bCs/>
          <w:color w:val="000000"/>
          <w:sz w:val="20"/>
          <w:szCs w:val="20"/>
          <w:lang w:eastAsia="en-IN"/>
        </w:rPr>
      </w:pPr>
      <w:r w:rsidRPr="005061D6">
        <w:rPr>
          <w:rFonts w:ascii="Arial" w:eastAsia="Times New Roman" w:hAnsi="Arial" w:cs="Arial"/>
          <w:b/>
          <w:bCs/>
          <w:color w:val="000000"/>
          <w:sz w:val="20"/>
          <w:szCs w:val="20"/>
          <w:lang w:eastAsia="en-IN"/>
        </w:rPr>
        <w:t>Arrangements with Card Networks for issue of Credit Cards</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 xml:space="preserve">The authorised card networks tie-up with banks / non-banks for issuance of credit cards. The choice of network for a card issued to a customer </w:t>
      </w:r>
      <w:proofErr w:type="gramStart"/>
      <w:r w:rsidRPr="005061D6">
        <w:rPr>
          <w:rFonts w:ascii="Arial" w:eastAsia="Times New Roman" w:hAnsi="Arial" w:cs="Arial"/>
          <w:color w:val="000000"/>
          <w:sz w:val="20"/>
          <w:szCs w:val="20"/>
          <w:lang w:eastAsia="en-IN"/>
        </w:rPr>
        <w:t>is decided</w:t>
      </w:r>
      <w:proofErr w:type="gramEnd"/>
      <w:r w:rsidRPr="005061D6">
        <w:rPr>
          <w:rFonts w:ascii="Arial" w:eastAsia="Times New Roman" w:hAnsi="Arial" w:cs="Arial"/>
          <w:color w:val="000000"/>
          <w:sz w:val="20"/>
          <w:szCs w:val="20"/>
          <w:lang w:eastAsia="en-IN"/>
        </w:rPr>
        <w:t xml:space="preserve"> by the card issuer (bank / non-bank) and is linked to the arrangements that the card issuers have with card networks in terms of their bilateral agreements.</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 xml:space="preserve">2. On a review, it </w:t>
      </w:r>
      <w:proofErr w:type="gramStart"/>
      <w:r w:rsidRPr="005061D6">
        <w:rPr>
          <w:rFonts w:ascii="Arial" w:eastAsia="Times New Roman" w:hAnsi="Arial" w:cs="Arial"/>
          <w:color w:val="000000"/>
          <w:sz w:val="20"/>
          <w:szCs w:val="20"/>
          <w:lang w:eastAsia="en-IN"/>
        </w:rPr>
        <w:t>is observed</w:t>
      </w:r>
      <w:proofErr w:type="gramEnd"/>
      <w:r w:rsidRPr="005061D6">
        <w:rPr>
          <w:rFonts w:ascii="Arial" w:eastAsia="Times New Roman" w:hAnsi="Arial" w:cs="Arial"/>
          <w:color w:val="000000"/>
          <w:sz w:val="20"/>
          <w:szCs w:val="20"/>
          <w:lang w:eastAsia="en-IN"/>
        </w:rPr>
        <w:t xml:space="preserve"> that some arrangements existing between card networks and card issuers are not conducive to the availability of choice for customers.</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3. In exercise of the powers conferred under Section 18 read with Section 10(2) of the Payment and Settlement Systems Act, 2007 (Act 51 of 2007), the RBI being satisfied that it is necessary and expedient, in the interest of payment system and public interest, to do so, hereby, directs as under:</w:t>
      </w:r>
    </w:p>
    <w:p w:rsidR="005061D6" w:rsidRPr="005061D6" w:rsidRDefault="005061D6" w:rsidP="005061D6">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Card issuers shall not enter into any arrangement or agreement with card networks that restrain them from availing the services of other card networks.</w:t>
      </w:r>
    </w:p>
    <w:p w:rsidR="005061D6" w:rsidRPr="005061D6" w:rsidRDefault="005061D6" w:rsidP="005061D6">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 xml:space="preserve">Card issuers shall provide an option to their eligible customers to choose from multiple card networks at the time of issue.  For existing cardholders, this option </w:t>
      </w:r>
      <w:proofErr w:type="gramStart"/>
      <w:r w:rsidRPr="005061D6">
        <w:rPr>
          <w:rFonts w:ascii="Arial" w:eastAsia="Times New Roman" w:hAnsi="Arial" w:cs="Arial"/>
          <w:color w:val="000000"/>
          <w:sz w:val="20"/>
          <w:szCs w:val="20"/>
          <w:lang w:eastAsia="en-IN"/>
        </w:rPr>
        <w:t>may be provided</w:t>
      </w:r>
      <w:proofErr w:type="gramEnd"/>
      <w:r w:rsidRPr="005061D6">
        <w:rPr>
          <w:rFonts w:ascii="Arial" w:eastAsia="Times New Roman" w:hAnsi="Arial" w:cs="Arial"/>
          <w:color w:val="000000"/>
          <w:sz w:val="20"/>
          <w:szCs w:val="20"/>
          <w:lang w:eastAsia="en-IN"/>
        </w:rPr>
        <w:t xml:space="preserve"> at the time of the next renewal.</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For the purpose of these directions, the following definitions are used:</w:t>
      </w:r>
    </w:p>
    <w:p w:rsidR="005061D6" w:rsidRPr="005061D6" w:rsidRDefault="005061D6" w:rsidP="005061D6">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 xml:space="preserve">Authorised card networks: American Express Banking Corp., Diners Club International Ltd., MasterCard Asia/ Pacific </w:t>
      </w:r>
      <w:proofErr w:type="spellStart"/>
      <w:r w:rsidRPr="005061D6">
        <w:rPr>
          <w:rFonts w:ascii="Arial" w:eastAsia="Times New Roman" w:hAnsi="Arial" w:cs="Arial"/>
          <w:color w:val="000000"/>
          <w:sz w:val="20"/>
          <w:szCs w:val="20"/>
          <w:lang w:eastAsia="en-IN"/>
        </w:rPr>
        <w:t>Pte.</w:t>
      </w:r>
      <w:proofErr w:type="spellEnd"/>
      <w:r w:rsidRPr="005061D6">
        <w:rPr>
          <w:rFonts w:ascii="Arial" w:eastAsia="Times New Roman" w:hAnsi="Arial" w:cs="Arial"/>
          <w:color w:val="000000"/>
          <w:sz w:val="20"/>
          <w:szCs w:val="20"/>
          <w:lang w:eastAsia="en-IN"/>
        </w:rPr>
        <w:t xml:space="preserve"> Ltd., National Payments Corporation of India–</w:t>
      </w:r>
      <w:proofErr w:type="spellStart"/>
      <w:r w:rsidRPr="005061D6">
        <w:rPr>
          <w:rFonts w:ascii="Arial" w:eastAsia="Times New Roman" w:hAnsi="Arial" w:cs="Arial"/>
          <w:color w:val="000000"/>
          <w:sz w:val="20"/>
          <w:szCs w:val="20"/>
          <w:lang w:eastAsia="en-IN"/>
        </w:rPr>
        <w:t>Rupay</w:t>
      </w:r>
      <w:proofErr w:type="spellEnd"/>
      <w:r w:rsidRPr="005061D6">
        <w:rPr>
          <w:rFonts w:ascii="Arial" w:eastAsia="Times New Roman" w:hAnsi="Arial" w:cs="Arial"/>
          <w:color w:val="000000"/>
          <w:sz w:val="20"/>
          <w:szCs w:val="20"/>
          <w:lang w:eastAsia="en-IN"/>
        </w:rPr>
        <w:t xml:space="preserve">, and Visa Worldwide </w:t>
      </w:r>
      <w:proofErr w:type="spellStart"/>
      <w:r w:rsidRPr="005061D6">
        <w:rPr>
          <w:rFonts w:ascii="Arial" w:eastAsia="Times New Roman" w:hAnsi="Arial" w:cs="Arial"/>
          <w:color w:val="000000"/>
          <w:sz w:val="20"/>
          <w:szCs w:val="20"/>
          <w:lang w:eastAsia="en-IN"/>
        </w:rPr>
        <w:t>Pte.</w:t>
      </w:r>
      <w:proofErr w:type="spellEnd"/>
      <w:r w:rsidRPr="005061D6">
        <w:rPr>
          <w:rFonts w:ascii="Arial" w:eastAsia="Times New Roman" w:hAnsi="Arial" w:cs="Arial"/>
          <w:color w:val="000000"/>
          <w:sz w:val="20"/>
          <w:szCs w:val="20"/>
          <w:lang w:eastAsia="en-IN"/>
        </w:rPr>
        <w:t xml:space="preserve"> Limited.</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4. Card issuers and card networks shall ensure adherence to the above requirements in:</w:t>
      </w:r>
    </w:p>
    <w:p w:rsidR="005061D6" w:rsidRPr="005061D6" w:rsidRDefault="005061D6" w:rsidP="005061D6">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existing agreements at the time of amendment or renewal thereof, and</w:t>
      </w:r>
    </w:p>
    <w:p w:rsidR="005061D6" w:rsidRPr="005061D6" w:rsidRDefault="005061D6" w:rsidP="005061D6">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5061D6">
        <w:rPr>
          <w:rFonts w:ascii="Arial" w:eastAsia="Times New Roman" w:hAnsi="Arial" w:cs="Arial"/>
          <w:color w:val="000000"/>
          <w:sz w:val="20"/>
          <w:szCs w:val="20"/>
          <w:lang w:eastAsia="en-IN"/>
        </w:rPr>
        <w:t>fresh</w:t>
      </w:r>
      <w:proofErr w:type="gramEnd"/>
      <w:r w:rsidRPr="005061D6">
        <w:rPr>
          <w:rFonts w:ascii="Arial" w:eastAsia="Times New Roman" w:hAnsi="Arial" w:cs="Arial"/>
          <w:color w:val="000000"/>
          <w:sz w:val="20"/>
          <w:szCs w:val="20"/>
          <w:lang w:eastAsia="en-IN"/>
        </w:rPr>
        <w:t xml:space="preserve"> agreements executed.</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5. The directions at 3(b) above shall not be applicable to credit card issuers with number of active cards issued by them being 10 lakh or less in number.</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 xml:space="preserve">6. Card issuers who issue credit cards on their own authorised card network </w:t>
      </w:r>
      <w:proofErr w:type="gramStart"/>
      <w:r w:rsidRPr="005061D6">
        <w:rPr>
          <w:rFonts w:ascii="Arial" w:eastAsia="Times New Roman" w:hAnsi="Arial" w:cs="Arial"/>
          <w:color w:val="000000"/>
          <w:sz w:val="20"/>
          <w:szCs w:val="20"/>
          <w:lang w:eastAsia="en-IN"/>
        </w:rPr>
        <w:t>are excluded</w:t>
      </w:r>
      <w:proofErr w:type="gramEnd"/>
      <w:r w:rsidRPr="005061D6">
        <w:rPr>
          <w:rFonts w:ascii="Arial" w:eastAsia="Times New Roman" w:hAnsi="Arial" w:cs="Arial"/>
          <w:color w:val="000000"/>
          <w:sz w:val="20"/>
          <w:szCs w:val="20"/>
          <w:lang w:eastAsia="en-IN"/>
        </w:rPr>
        <w:t xml:space="preserve"> from the applicability of the circular.</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7. The directions at para 3(b) above shall be effective six months from the date of this circular.</w:t>
      </w:r>
    </w:p>
    <w:p w:rsidR="005061D6" w:rsidRPr="005061D6" w:rsidRDefault="005061D6" w:rsidP="005061D6">
      <w:pPr>
        <w:spacing w:before="100" w:beforeAutospacing="1" w:after="100" w:afterAutospacing="1" w:line="240" w:lineRule="auto"/>
        <w:jc w:val="both"/>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Yours faithfully,</w:t>
      </w:r>
    </w:p>
    <w:p w:rsidR="005061D6" w:rsidRDefault="005061D6" w:rsidP="005061D6">
      <w:pPr>
        <w:spacing w:before="100" w:beforeAutospacing="1" w:after="100" w:afterAutospacing="1" w:line="240" w:lineRule="auto"/>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w:t>
      </w:r>
      <w:proofErr w:type="spellStart"/>
      <w:r w:rsidRPr="005061D6">
        <w:rPr>
          <w:rFonts w:ascii="Arial" w:eastAsia="Times New Roman" w:hAnsi="Arial" w:cs="Arial"/>
          <w:color w:val="000000"/>
          <w:sz w:val="20"/>
          <w:szCs w:val="20"/>
          <w:lang w:eastAsia="en-IN"/>
        </w:rPr>
        <w:t>Gunveer</w:t>
      </w:r>
      <w:proofErr w:type="spellEnd"/>
      <w:r w:rsidRPr="005061D6">
        <w:rPr>
          <w:rFonts w:ascii="Arial" w:eastAsia="Times New Roman" w:hAnsi="Arial" w:cs="Arial"/>
          <w:color w:val="000000"/>
          <w:sz w:val="20"/>
          <w:szCs w:val="20"/>
          <w:lang w:eastAsia="en-IN"/>
        </w:rPr>
        <w:t xml:space="preserve"> Singh)</w:t>
      </w:r>
      <w:r w:rsidRPr="005061D6">
        <w:rPr>
          <w:rFonts w:ascii="Arial" w:eastAsia="Times New Roman" w:hAnsi="Arial" w:cs="Arial"/>
          <w:color w:val="000000"/>
          <w:sz w:val="20"/>
          <w:szCs w:val="20"/>
          <w:lang w:eastAsia="en-IN"/>
        </w:rPr>
        <w:br/>
        <w:t>Chief General Manager-in-Charge</w:t>
      </w:r>
    </w:p>
    <w:p w:rsidR="005061D6" w:rsidRPr="005061D6" w:rsidRDefault="005061D6" w:rsidP="005061D6">
      <w:pPr>
        <w:spacing w:before="100" w:beforeAutospacing="1" w:after="100" w:afterAutospacing="1" w:line="240" w:lineRule="auto"/>
        <w:rPr>
          <w:rFonts w:ascii="Arial" w:eastAsia="Times New Roman" w:hAnsi="Arial" w:cs="Arial"/>
          <w:color w:val="000000"/>
          <w:sz w:val="20"/>
          <w:szCs w:val="20"/>
          <w:lang w:eastAsia="en-IN"/>
        </w:rPr>
      </w:pPr>
      <w:r w:rsidRPr="005061D6">
        <w:rPr>
          <w:rFonts w:ascii="Arial" w:eastAsia="Times New Roman" w:hAnsi="Arial" w:cs="Arial"/>
          <w:color w:val="000000"/>
          <w:sz w:val="20"/>
          <w:szCs w:val="20"/>
          <w:lang w:eastAsia="en-IN"/>
        </w:rPr>
        <w:t xml:space="preserve">For more details, kindly </w:t>
      </w:r>
      <w:proofErr w:type="gramStart"/>
      <w:r w:rsidRPr="005061D6">
        <w:rPr>
          <w:rFonts w:ascii="Arial" w:eastAsia="Times New Roman" w:hAnsi="Arial" w:cs="Arial"/>
          <w:color w:val="000000"/>
          <w:sz w:val="20"/>
          <w:szCs w:val="20"/>
          <w:lang w:eastAsia="en-IN"/>
        </w:rPr>
        <w:t>refer:</w:t>
      </w:r>
      <w:proofErr w:type="gramEnd"/>
      <w:r>
        <w:rPr>
          <w:rFonts w:ascii="Arial" w:eastAsia="Times New Roman" w:hAnsi="Arial" w:cs="Arial"/>
          <w:color w:val="000000"/>
          <w:sz w:val="20"/>
          <w:szCs w:val="20"/>
          <w:lang w:eastAsia="en-IN"/>
        </w:rPr>
        <w:t xml:space="preserve"> </w:t>
      </w:r>
      <w:hyperlink r:id="rId21" w:history="1">
        <w:r w:rsidRPr="00692C03">
          <w:rPr>
            <w:rStyle w:val="Hyperlink"/>
            <w:rFonts w:ascii="Arial" w:eastAsia="Times New Roman" w:hAnsi="Arial" w:cs="Arial"/>
            <w:sz w:val="20"/>
            <w:szCs w:val="20"/>
            <w:lang w:eastAsia="en-IN"/>
          </w:rPr>
          <w:t>https://www.rbi.org.in/Scripts/NotificationUser.aspx?Id=12619&amp;Mode=0</w:t>
        </w:r>
      </w:hyperlink>
      <w:r>
        <w:rPr>
          <w:rFonts w:ascii="Arial" w:eastAsia="Times New Roman" w:hAnsi="Arial" w:cs="Arial"/>
          <w:color w:val="000000"/>
          <w:sz w:val="20"/>
          <w:szCs w:val="20"/>
          <w:lang w:eastAsia="en-IN"/>
        </w:rPr>
        <w:t xml:space="preserve"> </w:t>
      </w:r>
    </w:p>
    <w:p w:rsidR="007410DB" w:rsidRPr="007410DB" w:rsidRDefault="007410DB" w:rsidP="007410DB">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 Credit Card and Debit Card – Issuance and Conduct Directions, 2022</w:t>
      </w:r>
    </w:p>
    <w:p w:rsidR="007410DB" w:rsidRDefault="007410DB" w:rsidP="007410DB">
      <w:pPr>
        <w:pStyle w:val="NormalWeb"/>
        <w:jc w:val="both"/>
        <w:rPr>
          <w:rFonts w:ascii="Arial" w:hAnsi="Arial" w:cs="Arial"/>
          <w:color w:val="000000"/>
          <w:sz w:val="20"/>
          <w:szCs w:val="20"/>
        </w:rPr>
      </w:pPr>
      <w:r>
        <w:rPr>
          <w:rFonts w:ascii="Arial" w:hAnsi="Arial" w:cs="Arial"/>
          <w:color w:val="000000"/>
          <w:sz w:val="20"/>
          <w:szCs w:val="20"/>
        </w:rPr>
        <w:t>RBI/2023-24/132</w:t>
      </w:r>
      <w:r>
        <w:rPr>
          <w:rFonts w:ascii="Arial" w:hAnsi="Arial" w:cs="Arial"/>
          <w:color w:val="000000"/>
          <w:sz w:val="20"/>
          <w:szCs w:val="20"/>
        </w:rPr>
        <w:br/>
        <w:t>DOR.RAUG.AUT.REC.No.81/24.01.041/2023-24</w:t>
      </w:r>
    </w:p>
    <w:p w:rsidR="007410DB" w:rsidRDefault="007410DB" w:rsidP="007410DB">
      <w:pPr>
        <w:pStyle w:val="NormalWeb"/>
        <w:jc w:val="right"/>
        <w:rPr>
          <w:rFonts w:ascii="Arial" w:hAnsi="Arial" w:cs="Arial"/>
          <w:color w:val="000000"/>
          <w:sz w:val="20"/>
          <w:szCs w:val="20"/>
        </w:rPr>
      </w:pPr>
      <w:r>
        <w:rPr>
          <w:rFonts w:ascii="Arial" w:hAnsi="Arial" w:cs="Arial"/>
          <w:color w:val="000000"/>
          <w:sz w:val="20"/>
          <w:szCs w:val="20"/>
        </w:rPr>
        <w:t>March 07, 2024</w:t>
      </w:r>
    </w:p>
    <w:p w:rsidR="007410DB" w:rsidRDefault="007410DB" w:rsidP="007410DB">
      <w:pPr>
        <w:pStyle w:val="NormalWeb"/>
        <w:rPr>
          <w:rFonts w:ascii="Arial" w:hAnsi="Arial" w:cs="Arial"/>
          <w:color w:val="000000"/>
          <w:sz w:val="20"/>
          <w:szCs w:val="20"/>
        </w:rPr>
      </w:pPr>
      <w:r>
        <w:rPr>
          <w:rFonts w:ascii="Arial" w:hAnsi="Arial" w:cs="Arial"/>
          <w:color w:val="000000"/>
          <w:sz w:val="20"/>
          <w:szCs w:val="20"/>
        </w:rPr>
        <w:t>The Chairperson / Managing Director / Chief Executive Officer</w:t>
      </w:r>
      <w:r>
        <w:rPr>
          <w:rFonts w:ascii="Arial" w:hAnsi="Arial" w:cs="Arial"/>
          <w:color w:val="000000"/>
          <w:sz w:val="20"/>
          <w:szCs w:val="20"/>
        </w:rPr>
        <w:br/>
        <w:t>Banks and Non-Banking Financial Companies</w:t>
      </w:r>
    </w:p>
    <w:p w:rsidR="007410DB" w:rsidRDefault="007410DB" w:rsidP="007410DB">
      <w:pPr>
        <w:pStyle w:val="NormalWeb"/>
        <w:jc w:val="both"/>
        <w:rPr>
          <w:rFonts w:ascii="Arial" w:hAnsi="Arial" w:cs="Arial"/>
          <w:color w:val="000000"/>
          <w:sz w:val="20"/>
          <w:szCs w:val="20"/>
        </w:rPr>
      </w:pPr>
      <w:r>
        <w:rPr>
          <w:rFonts w:ascii="Arial" w:hAnsi="Arial" w:cs="Arial"/>
          <w:color w:val="000000"/>
          <w:sz w:val="20"/>
          <w:szCs w:val="20"/>
        </w:rPr>
        <w:t>Madam / Sir,</w:t>
      </w:r>
    </w:p>
    <w:p w:rsidR="007410DB" w:rsidRDefault="007410DB" w:rsidP="007410DB">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 Credit Card and Debit Card – Issuance and Conduct Directions, 2022</w:t>
      </w:r>
    </w:p>
    <w:p w:rsidR="007410DB" w:rsidRDefault="007410DB" w:rsidP="007410DB">
      <w:pPr>
        <w:pStyle w:val="NormalWeb"/>
        <w:jc w:val="both"/>
        <w:rPr>
          <w:rFonts w:ascii="Arial" w:hAnsi="Arial" w:cs="Arial"/>
          <w:color w:val="000000"/>
          <w:sz w:val="20"/>
          <w:szCs w:val="20"/>
        </w:rPr>
      </w:pPr>
      <w:proofErr w:type="gramStart"/>
      <w:r>
        <w:rPr>
          <w:rFonts w:ascii="Arial" w:hAnsi="Arial" w:cs="Arial"/>
          <w:color w:val="000000"/>
          <w:sz w:val="20"/>
          <w:szCs w:val="20"/>
        </w:rPr>
        <w:t>In exercise of the powers conferred by Section 35A of the Banking Regulation Act, 1949 and Chapter IIIB of the Reserve Bank of India Act, 1934, the Reserve Bank of India being satisfied that it is necessary and expedient in the public interest to do so, hereby, amends certain provisions issued vide </w:t>
      </w:r>
      <w:hyperlink r:id="rId22" w:tgtFrame="_blank" w:history="1">
        <w:r>
          <w:rPr>
            <w:rStyle w:val="Hyperlink"/>
            <w:rFonts w:ascii="Arial" w:hAnsi="Arial" w:cs="Arial"/>
            <w:sz w:val="20"/>
            <w:szCs w:val="20"/>
            <w:u w:val="none"/>
          </w:rPr>
          <w:t>Master Direction DoR.AUT.REC.No.27/24.01.041/2022-23 dated April 21, 2022</w:t>
        </w:r>
      </w:hyperlink>
      <w:r>
        <w:rPr>
          <w:rFonts w:ascii="Arial" w:hAnsi="Arial" w:cs="Arial"/>
          <w:color w:val="000000"/>
          <w:sz w:val="20"/>
          <w:szCs w:val="20"/>
        </w:rPr>
        <w:t> on ‘Credit Card and Debit Card – Issuance and Conduct Directions, 2022’.</w:t>
      </w:r>
      <w:proofErr w:type="gramEnd"/>
    </w:p>
    <w:p w:rsidR="007410DB" w:rsidRDefault="007410DB" w:rsidP="007410DB">
      <w:pPr>
        <w:pStyle w:val="NormalWeb"/>
        <w:jc w:val="both"/>
        <w:rPr>
          <w:rFonts w:ascii="Arial" w:hAnsi="Arial" w:cs="Arial"/>
          <w:color w:val="000000"/>
          <w:sz w:val="20"/>
          <w:szCs w:val="20"/>
        </w:rPr>
      </w:pPr>
      <w:r>
        <w:rPr>
          <w:rFonts w:ascii="Arial" w:hAnsi="Arial" w:cs="Arial"/>
          <w:color w:val="000000"/>
          <w:sz w:val="20"/>
          <w:szCs w:val="20"/>
        </w:rPr>
        <w:t xml:space="preserve">2. The amended provisions of the Master Direction </w:t>
      </w:r>
      <w:proofErr w:type="gramStart"/>
      <w:r>
        <w:rPr>
          <w:rFonts w:ascii="Arial" w:hAnsi="Arial" w:cs="Arial"/>
          <w:color w:val="000000"/>
          <w:sz w:val="20"/>
          <w:szCs w:val="20"/>
        </w:rPr>
        <w:t>are enclosed</w:t>
      </w:r>
      <w:proofErr w:type="gramEnd"/>
      <w:r>
        <w:rPr>
          <w:rFonts w:ascii="Arial" w:hAnsi="Arial" w:cs="Arial"/>
          <w:color w:val="000000"/>
          <w:sz w:val="20"/>
          <w:szCs w:val="20"/>
        </w:rPr>
        <w:t xml:space="preserve"> in the </w:t>
      </w:r>
      <w:hyperlink r:id="rId23" w:anchor="AS" w:history="1">
        <w:r>
          <w:rPr>
            <w:rStyle w:val="Hyperlink"/>
            <w:rFonts w:ascii="Arial" w:hAnsi="Arial" w:cs="Arial"/>
            <w:sz w:val="20"/>
            <w:szCs w:val="20"/>
            <w:u w:val="none"/>
          </w:rPr>
          <w:t>Annex</w:t>
        </w:r>
      </w:hyperlink>
      <w:r>
        <w:rPr>
          <w:rFonts w:ascii="Arial" w:hAnsi="Arial" w:cs="Arial"/>
          <w:color w:val="000000"/>
          <w:sz w:val="20"/>
          <w:szCs w:val="20"/>
        </w:rPr>
        <w:t> to this circular. </w:t>
      </w:r>
      <w:hyperlink r:id="rId24" w:tgtFrame="_blank" w:history="1">
        <w:r>
          <w:rPr>
            <w:rStyle w:val="Hyperlink"/>
            <w:rFonts w:ascii="Arial" w:hAnsi="Arial" w:cs="Arial"/>
            <w:sz w:val="20"/>
            <w:szCs w:val="20"/>
            <w:u w:val="none"/>
          </w:rPr>
          <w:t>Frequently Asked Questions</w:t>
        </w:r>
      </w:hyperlink>
      <w:r>
        <w:rPr>
          <w:rFonts w:ascii="Arial" w:hAnsi="Arial" w:cs="Arial"/>
          <w:color w:val="000000"/>
          <w:sz w:val="20"/>
          <w:szCs w:val="20"/>
        </w:rPr>
        <w:t xml:space="preserve"> relating to the provisions contained in the Master Direction </w:t>
      </w:r>
      <w:proofErr w:type="gramStart"/>
      <w:r>
        <w:rPr>
          <w:rFonts w:ascii="Arial" w:hAnsi="Arial" w:cs="Arial"/>
          <w:color w:val="000000"/>
          <w:sz w:val="20"/>
          <w:szCs w:val="20"/>
        </w:rPr>
        <w:t>are placed</w:t>
      </w:r>
      <w:proofErr w:type="gramEnd"/>
      <w:r>
        <w:rPr>
          <w:rFonts w:ascii="Arial" w:hAnsi="Arial" w:cs="Arial"/>
          <w:color w:val="000000"/>
          <w:sz w:val="20"/>
          <w:szCs w:val="20"/>
        </w:rPr>
        <w:t xml:space="preserve"> under </w:t>
      </w:r>
      <w:hyperlink r:id="rId25" w:tgtFrame="_blank" w:history="1">
        <w:r>
          <w:rPr>
            <w:rStyle w:val="Hyperlink"/>
            <w:rFonts w:ascii="Arial" w:hAnsi="Arial" w:cs="Arial"/>
            <w:sz w:val="20"/>
            <w:szCs w:val="20"/>
            <w:u w:val="none"/>
          </w:rPr>
          <w:t>FAQ Section</w:t>
        </w:r>
      </w:hyperlink>
      <w:r>
        <w:rPr>
          <w:rFonts w:ascii="Arial" w:hAnsi="Arial" w:cs="Arial"/>
          <w:color w:val="000000"/>
          <w:sz w:val="20"/>
          <w:szCs w:val="20"/>
        </w:rPr>
        <w:t> on the website and as an Appendix to the Master Direction.</w:t>
      </w:r>
    </w:p>
    <w:p w:rsidR="007410DB" w:rsidRDefault="007410DB" w:rsidP="007410DB">
      <w:pPr>
        <w:pStyle w:val="head"/>
        <w:jc w:val="both"/>
        <w:rPr>
          <w:rFonts w:ascii="Arial" w:hAnsi="Arial" w:cs="Arial"/>
          <w:b/>
          <w:bCs/>
          <w:color w:val="000000"/>
          <w:sz w:val="20"/>
          <w:szCs w:val="20"/>
        </w:rPr>
      </w:pPr>
      <w:r>
        <w:rPr>
          <w:rFonts w:ascii="Arial" w:hAnsi="Arial" w:cs="Arial"/>
          <w:b/>
          <w:bCs/>
          <w:color w:val="000000"/>
          <w:sz w:val="20"/>
          <w:szCs w:val="20"/>
        </w:rPr>
        <w:t>3. Commencement</w:t>
      </w:r>
    </w:p>
    <w:p w:rsidR="007410DB" w:rsidRDefault="007410DB" w:rsidP="007410DB">
      <w:pPr>
        <w:pStyle w:val="NormalWeb"/>
        <w:jc w:val="both"/>
        <w:rPr>
          <w:rFonts w:ascii="Arial" w:hAnsi="Arial" w:cs="Arial"/>
          <w:color w:val="000000"/>
          <w:sz w:val="20"/>
          <w:szCs w:val="20"/>
        </w:rPr>
      </w:pPr>
      <w:r>
        <w:rPr>
          <w:rFonts w:ascii="Arial" w:hAnsi="Arial" w:cs="Arial"/>
          <w:color w:val="000000"/>
          <w:sz w:val="20"/>
          <w:szCs w:val="20"/>
        </w:rPr>
        <w:t>The amended provisions contained in this circular shall come into effect from March 07, 2024. The captioned Master Direction is hereby updated to reflect the changes effected by the below amendments.</w:t>
      </w:r>
    </w:p>
    <w:p w:rsidR="007410DB" w:rsidRDefault="007410DB" w:rsidP="007410DB">
      <w:pPr>
        <w:pStyle w:val="head"/>
        <w:jc w:val="both"/>
        <w:rPr>
          <w:rFonts w:ascii="Arial" w:hAnsi="Arial" w:cs="Arial"/>
          <w:b/>
          <w:bCs/>
          <w:color w:val="000000"/>
          <w:sz w:val="20"/>
          <w:szCs w:val="20"/>
        </w:rPr>
      </w:pPr>
      <w:r>
        <w:rPr>
          <w:rFonts w:ascii="Arial" w:hAnsi="Arial" w:cs="Arial"/>
          <w:b/>
          <w:bCs/>
          <w:color w:val="000000"/>
          <w:sz w:val="20"/>
          <w:szCs w:val="20"/>
        </w:rPr>
        <w:t>4. Applicability</w:t>
      </w:r>
    </w:p>
    <w:p w:rsidR="007410DB" w:rsidRDefault="007410DB" w:rsidP="007410DB">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Instructions relating to credit cards shall apply to all credit card issuing Banks and Non-Banking Financial Companies (NBFCs).</w:t>
      </w:r>
    </w:p>
    <w:p w:rsidR="007410DB" w:rsidRDefault="007410DB" w:rsidP="007410DB">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Instructions relating to debit cards shall apply to every bank operating in India.</w:t>
      </w:r>
    </w:p>
    <w:p w:rsidR="007410DB" w:rsidRDefault="007410DB" w:rsidP="007410DB">
      <w:pPr>
        <w:pStyle w:val="NormalWeb"/>
        <w:rPr>
          <w:rFonts w:ascii="Arial" w:hAnsi="Arial" w:cs="Arial"/>
          <w:color w:val="000000"/>
          <w:sz w:val="20"/>
          <w:szCs w:val="20"/>
        </w:rPr>
      </w:pPr>
      <w:r>
        <w:rPr>
          <w:rStyle w:val="head1"/>
          <w:rFonts w:ascii="Arial" w:hAnsi="Arial" w:cs="Arial"/>
          <w:b/>
          <w:bCs/>
          <w:color w:val="000000"/>
          <w:sz w:val="20"/>
          <w:szCs w:val="20"/>
        </w:rPr>
        <w:t>(</w:t>
      </w:r>
      <w:proofErr w:type="spellStart"/>
      <w:r>
        <w:rPr>
          <w:rStyle w:val="head1"/>
          <w:rFonts w:ascii="Arial" w:hAnsi="Arial" w:cs="Arial"/>
          <w:b/>
          <w:bCs/>
          <w:color w:val="000000"/>
          <w:sz w:val="20"/>
          <w:szCs w:val="20"/>
        </w:rPr>
        <w:t>Manoranjan</w:t>
      </w:r>
      <w:proofErr w:type="spellEnd"/>
      <w:r>
        <w:rPr>
          <w:rStyle w:val="head1"/>
          <w:rFonts w:ascii="Arial" w:hAnsi="Arial" w:cs="Arial"/>
          <w:b/>
          <w:bCs/>
          <w:color w:val="000000"/>
          <w:sz w:val="20"/>
          <w:szCs w:val="20"/>
        </w:rPr>
        <w:t xml:space="preserve"> </w:t>
      </w:r>
      <w:proofErr w:type="spellStart"/>
      <w:r>
        <w:rPr>
          <w:rStyle w:val="head1"/>
          <w:rFonts w:ascii="Arial" w:hAnsi="Arial" w:cs="Arial"/>
          <w:b/>
          <w:bCs/>
          <w:color w:val="000000"/>
          <w:sz w:val="20"/>
          <w:szCs w:val="20"/>
        </w:rPr>
        <w:t>Padhy</w:t>
      </w:r>
      <w:proofErr w:type="spellEnd"/>
      <w:r>
        <w:rPr>
          <w:rStyle w:val="head1"/>
          <w:rFonts w:ascii="Arial" w:hAnsi="Arial" w:cs="Arial"/>
          <w:b/>
          <w:bCs/>
          <w:color w:val="000000"/>
          <w:sz w:val="20"/>
          <w:szCs w:val="20"/>
        </w:rPr>
        <w:t>)</w:t>
      </w:r>
      <w:r>
        <w:rPr>
          <w:rFonts w:ascii="Arial" w:hAnsi="Arial" w:cs="Arial"/>
          <w:color w:val="000000"/>
          <w:sz w:val="20"/>
          <w:szCs w:val="20"/>
        </w:rPr>
        <w:br/>
        <w:t>Chief General Manager</w:t>
      </w:r>
    </w:p>
    <w:p w:rsidR="007410DB" w:rsidRDefault="007410DB" w:rsidP="007410DB">
      <w:pPr>
        <w:pStyle w:val="NormalWeb"/>
        <w:rPr>
          <w:rFonts w:ascii="Arial" w:hAnsi="Arial" w:cs="Arial"/>
          <w:color w:val="000000"/>
          <w:sz w:val="20"/>
          <w:szCs w:val="20"/>
        </w:rPr>
      </w:pPr>
      <w:r w:rsidRPr="007410DB">
        <w:rPr>
          <w:rFonts w:ascii="Arial" w:hAnsi="Arial" w:cs="Arial"/>
          <w:color w:val="000000"/>
          <w:sz w:val="20"/>
          <w:szCs w:val="20"/>
        </w:rPr>
        <w:t>For more details, kindly refer:</w:t>
      </w:r>
    </w:p>
    <w:p w:rsidR="007410DB" w:rsidRDefault="007410DB" w:rsidP="007410DB">
      <w:pPr>
        <w:pStyle w:val="NormalWeb"/>
        <w:rPr>
          <w:rFonts w:ascii="Arial" w:hAnsi="Arial" w:cs="Arial"/>
          <w:color w:val="000000"/>
          <w:sz w:val="20"/>
          <w:szCs w:val="20"/>
        </w:rPr>
      </w:pPr>
      <w:hyperlink r:id="rId26" w:history="1">
        <w:r w:rsidRPr="00692C03">
          <w:rPr>
            <w:rStyle w:val="Hyperlink"/>
            <w:rFonts w:ascii="Arial" w:hAnsi="Arial" w:cs="Arial"/>
            <w:sz w:val="20"/>
            <w:szCs w:val="20"/>
          </w:rPr>
          <w:t>https://www.rbi.org.in/Scripts/NotificationUser.aspx?Id=12620&amp;Mode=0</w:t>
        </w:r>
      </w:hyperlink>
      <w:r>
        <w:rPr>
          <w:rFonts w:ascii="Arial" w:hAnsi="Arial" w:cs="Arial"/>
          <w:color w:val="000000"/>
          <w:sz w:val="20"/>
          <w:szCs w:val="20"/>
        </w:rPr>
        <w:t xml:space="preserve"> </w:t>
      </w:r>
    </w:p>
    <w:p w:rsidR="009D578D" w:rsidRDefault="009D578D" w:rsidP="007410DB">
      <w:pPr>
        <w:pStyle w:val="NormalWeb"/>
        <w:rPr>
          <w:rFonts w:ascii="Arial" w:hAnsi="Arial" w:cs="Arial"/>
          <w:color w:val="000000"/>
          <w:sz w:val="20"/>
          <w:szCs w:val="20"/>
        </w:rPr>
      </w:pPr>
    </w:p>
    <w:p w:rsidR="009D578D" w:rsidRDefault="009D578D" w:rsidP="007410DB">
      <w:pPr>
        <w:pStyle w:val="NormalWeb"/>
        <w:rPr>
          <w:rFonts w:ascii="Arial" w:hAnsi="Arial" w:cs="Arial"/>
          <w:color w:val="000000"/>
          <w:sz w:val="20"/>
          <w:szCs w:val="20"/>
        </w:rPr>
      </w:pPr>
    </w:p>
    <w:p w:rsidR="009D578D" w:rsidRDefault="009D578D" w:rsidP="007410DB">
      <w:pPr>
        <w:pStyle w:val="NormalWeb"/>
        <w:rPr>
          <w:rFonts w:ascii="Arial" w:hAnsi="Arial" w:cs="Arial"/>
          <w:color w:val="000000"/>
          <w:sz w:val="20"/>
          <w:szCs w:val="20"/>
        </w:rPr>
      </w:pPr>
    </w:p>
    <w:p w:rsidR="009D578D" w:rsidRDefault="009D578D" w:rsidP="007410DB">
      <w:pPr>
        <w:pStyle w:val="NormalWeb"/>
        <w:rPr>
          <w:rFonts w:ascii="Arial" w:hAnsi="Arial" w:cs="Arial"/>
          <w:color w:val="000000"/>
          <w:sz w:val="20"/>
          <w:szCs w:val="20"/>
        </w:rPr>
      </w:pPr>
    </w:p>
    <w:p w:rsidR="009D578D" w:rsidRDefault="009D578D" w:rsidP="007410DB">
      <w:pPr>
        <w:pStyle w:val="NormalWeb"/>
        <w:rPr>
          <w:rFonts w:ascii="Arial" w:hAnsi="Arial" w:cs="Arial"/>
          <w:color w:val="000000"/>
          <w:sz w:val="20"/>
          <w:szCs w:val="20"/>
        </w:rPr>
      </w:pPr>
    </w:p>
    <w:p w:rsidR="009D578D" w:rsidRDefault="009D578D" w:rsidP="007410DB">
      <w:pPr>
        <w:pStyle w:val="NormalWeb"/>
        <w:rPr>
          <w:rFonts w:ascii="Arial" w:hAnsi="Arial" w:cs="Arial"/>
          <w:color w:val="000000"/>
          <w:sz w:val="20"/>
          <w:szCs w:val="20"/>
        </w:rPr>
      </w:pPr>
    </w:p>
    <w:p w:rsidR="00F02067" w:rsidRPr="00F02067" w:rsidRDefault="00F02067" w:rsidP="00F02067">
      <w:pPr>
        <w:spacing w:before="100" w:beforeAutospacing="1" w:after="100" w:afterAutospacing="1" w:line="240" w:lineRule="auto"/>
        <w:jc w:val="both"/>
        <w:rPr>
          <w:rFonts w:ascii="Arial" w:eastAsia="Times New Roman" w:hAnsi="Arial" w:cs="Arial"/>
          <w:b/>
          <w:bCs/>
          <w:color w:val="000000"/>
          <w:sz w:val="20"/>
          <w:szCs w:val="20"/>
          <w:lang w:eastAsia="en-IN"/>
        </w:rPr>
      </w:pPr>
      <w:r w:rsidRPr="00F02067">
        <w:rPr>
          <w:rFonts w:ascii="Arial" w:eastAsia="Times New Roman" w:hAnsi="Arial" w:cs="Arial"/>
          <w:b/>
          <w:bCs/>
          <w:color w:val="000000"/>
          <w:sz w:val="20"/>
          <w:szCs w:val="20"/>
          <w:lang w:eastAsia="en-IN"/>
        </w:rPr>
        <w:lastRenderedPageBreak/>
        <w:t>Master Direction – Scheme of Penalties for bank branches and Currency Chests for deficiency in rendering customer service to the members of public</w:t>
      </w:r>
    </w:p>
    <w:p w:rsidR="00F02067" w:rsidRPr="00F02067" w:rsidRDefault="00F02067" w:rsidP="00F02067">
      <w:pPr>
        <w:spacing w:before="100" w:beforeAutospacing="1" w:after="100" w:afterAutospacing="1" w:line="240" w:lineRule="auto"/>
        <w:jc w:val="both"/>
        <w:rPr>
          <w:rFonts w:ascii="Arial" w:eastAsia="Times New Roman" w:hAnsi="Arial" w:cs="Arial"/>
          <w:color w:val="000000"/>
          <w:sz w:val="20"/>
          <w:szCs w:val="20"/>
          <w:lang w:eastAsia="en-IN"/>
        </w:rPr>
      </w:pPr>
      <w:r w:rsidRPr="00F02067">
        <w:rPr>
          <w:rFonts w:ascii="Arial" w:eastAsia="Times New Roman" w:hAnsi="Arial" w:cs="Arial"/>
          <w:color w:val="000000"/>
          <w:sz w:val="20"/>
          <w:szCs w:val="20"/>
          <w:lang w:eastAsia="en-IN"/>
        </w:rPr>
        <w:t>RBI/DCM/2024-25/112</w:t>
      </w:r>
      <w:r w:rsidRPr="00F02067">
        <w:rPr>
          <w:rFonts w:ascii="Arial" w:eastAsia="Times New Roman" w:hAnsi="Arial" w:cs="Arial"/>
          <w:color w:val="000000"/>
          <w:sz w:val="20"/>
          <w:szCs w:val="20"/>
          <w:lang w:eastAsia="en-IN"/>
        </w:rPr>
        <w:br/>
        <w:t>DCM (CC) No.G-1/03.44.01/2024-25</w:t>
      </w:r>
    </w:p>
    <w:p w:rsidR="00F02067" w:rsidRPr="00F02067" w:rsidRDefault="00F02067" w:rsidP="00F02067">
      <w:pPr>
        <w:spacing w:before="100" w:beforeAutospacing="1" w:after="100" w:afterAutospacing="1" w:line="240" w:lineRule="auto"/>
        <w:jc w:val="right"/>
        <w:rPr>
          <w:rFonts w:ascii="Arial" w:eastAsia="Times New Roman" w:hAnsi="Arial" w:cs="Arial"/>
          <w:color w:val="000000"/>
          <w:sz w:val="20"/>
          <w:szCs w:val="20"/>
          <w:lang w:eastAsia="en-IN"/>
        </w:rPr>
      </w:pPr>
      <w:r w:rsidRPr="00F02067">
        <w:rPr>
          <w:rFonts w:ascii="Arial" w:eastAsia="Times New Roman" w:hAnsi="Arial" w:cs="Arial"/>
          <w:color w:val="000000"/>
          <w:sz w:val="20"/>
          <w:szCs w:val="20"/>
          <w:lang w:eastAsia="en-IN"/>
        </w:rPr>
        <w:t>April 01, 2024</w:t>
      </w:r>
    </w:p>
    <w:p w:rsidR="00F02067" w:rsidRPr="00F02067" w:rsidRDefault="00F02067" w:rsidP="00F02067">
      <w:pPr>
        <w:spacing w:before="100" w:beforeAutospacing="1" w:after="100" w:afterAutospacing="1" w:line="240" w:lineRule="auto"/>
        <w:rPr>
          <w:rFonts w:ascii="Arial" w:eastAsia="Times New Roman" w:hAnsi="Arial" w:cs="Arial"/>
          <w:color w:val="000000"/>
          <w:sz w:val="20"/>
          <w:szCs w:val="20"/>
          <w:lang w:eastAsia="en-IN"/>
        </w:rPr>
      </w:pPr>
      <w:r w:rsidRPr="00F02067">
        <w:rPr>
          <w:rFonts w:ascii="Arial" w:eastAsia="Times New Roman" w:hAnsi="Arial" w:cs="Arial"/>
          <w:color w:val="000000"/>
          <w:sz w:val="20"/>
          <w:szCs w:val="20"/>
          <w:lang w:eastAsia="en-IN"/>
        </w:rPr>
        <w:t>The Chairman / Managing Director / Chief Executive Officer</w:t>
      </w:r>
      <w:r w:rsidRPr="00F02067">
        <w:rPr>
          <w:rFonts w:ascii="Arial" w:eastAsia="Times New Roman" w:hAnsi="Arial" w:cs="Arial"/>
          <w:color w:val="000000"/>
          <w:sz w:val="20"/>
          <w:szCs w:val="20"/>
          <w:lang w:eastAsia="en-IN"/>
        </w:rPr>
        <w:br/>
        <w:t>All banks</w:t>
      </w:r>
    </w:p>
    <w:p w:rsidR="00F02067" w:rsidRPr="00F02067" w:rsidRDefault="00F02067" w:rsidP="00F02067">
      <w:pPr>
        <w:spacing w:before="100" w:beforeAutospacing="1" w:after="100" w:afterAutospacing="1" w:line="240" w:lineRule="auto"/>
        <w:jc w:val="both"/>
        <w:rPr>
          <w:rFonts w:ascii="Arial" w:eastAsia="Times New Roman" w:hAnsi="Arial" w:cs="Arial"/>
          <w:color w:val="000000"/>
          <w:sz w:val="20"/>
          <w:szCs w:val="20"/>
          <w:lang w:eastAsia="en-IN"/>
        </w:rPr>
      </w:pPr>
      <w:r w:rsidRPr="00F02067">
        <w:rPr>
          <w:rFonts w:ascii="Arial" w:eastAsia="Times New Roman" w:hAnsi="Arial" w:cs="Arial"/>
          <w:color w:val="000000"/>
          <w:sz w:val="20"/>
          <w:szCs w:val="20"/>
          <w:lang w:eastAsia="en-IN"/>
        </w:rPr>
        <w:t>Madam / Dear Sir,</w:t>
      </w:r>
    </w:p>
    <w:p w:rsidR="00F02067" w:rsidRPr="00F02067" w:rsidRDefault="00F02067" w:rsidP="00F02067">
      <w:pPr>
        <w:spacing w:before="100" w:beforeAutospacing="1" w:after="100" w:afterAutospacing="1" w:line="240" w:lineRule="auto"/>
        <w:jc w:val="both"/>
        <w:rPr>
          <w:rFonts w:ascii="Arial" w:eastAsia="Times New Roman" w:hAnsi="Arial" w:cs="Arial"/>
          <w:b/>
          <w:bCs/>
          <w:color w:val="000000"/>
          <w:sz w:val="20"/>
          <w:szCs w:val="20"/>
          <w:lang w:eastAsia="en-IN"/>
        </w:rPr>
      </w:pPr>
      <w:r w:rsidRPr="00F02067">
        <w:rPr>
          <w:rFonts w:ascii="Arial" w:eastAsia="Times New Roman" w:hAnsi="Arial" w:cs="Arial"/>
          <w:b/>
          <w:bCs/>
          <w:color w:val="000000"/>
          <w:sz w:val="20"/>
          <w:szCs w:val="20"/>
          <w:lang w:eastAsia="en-IN"/>
        </w:rPr>
        <w:t>Master Direction – Scheme of Penalties for bank branches and Currency Chests for deficiency in rendering customer service to the members of public</w:t>
      </w:r>
    </w:p>
    <w:p w:rsidR="00F02067" w:rsidRPr="00F02067" w:rsidRDefault="00F02067" w:rsidP="00F02067">
      <w:pPr>
        <w:spacing w:before="100" w:beforeAutospacing="1" w:after="100" w:afterAutospacing="1" w:line="240" w:lineRule="auto"/>
        <w:jc w:val="both"/>
        <w:rPr>
          <w:rFonts w:ascii="Arial" w:eastAsia="Times New Roman" w:hAnsi="Arial" w:cs="Arial"/>
          <w:color w:val="000000"/>
          <w:sz w:val="20"/>
          <w:szCs w:val="20"/>
          <w:lang w:eastAsia="en-IN"/>
        </w:rPr>
      </w:pPr>
      <w:r w:rsidRPr="00F02067">
        <w:rPr>
          <w:rFonts w:ascii="Arial" w:eastAsia="Times New Roman" w:hAnsi="Arial" w:cs="Arial"/>
          <w:color w:val="000000"/>
          <w:sz w:val="20"/>
          <w:szCs w:val="20"/>
          <w:lang w:eastAsia="en-IN"/>
        </w:rPr>
        <w:t>In terms of the Preamble to and Section 45 of the Reserve Bank of India Act, 1934 (RBI Act) and Section 35A of the Banking Regulation Act, 1949, Reserve Bank of India issues guidelines / instructions for realising the objectives of Clean Note Policy and enhancing the operational efficiency as part of currency management. In order to ensure that all bank branches provide proper customer service, the Bank has formulated a Scheme of Penalties for bank branches including Currency Chests, for deficiency in rendering customer service to the members of public.</w:t>
      </w:r>
    </w:p>
    <w:p w:rsidR="00F02067" w:rsidRPr="00F02067" w:rsidRDefault="00F02067" w:rsidP="00F02067">
      <w:pPr>
        <w:spacing w:before="100" w:beforeAutospacing="1" w:after="100" w:afterAutospacing="1" w:line="240" w:lineRule="auto"/>
        <w:jc w:val="both"/>
        <w:rPr>
          <w:rFonts w:ascii="Arial" w:eastAsia="Times New Roman" w:hAnsi="Arial" w:cs="Arial"/>
          <w:color w:val="000000"/>
          <w:sz w:val="20"/>
          <w:szCs w:val="20"/>
          <w:lang w:eastAsia="en-IN"/>
        </w:rPr>
      </w:pPr>
      <w:r w:rsidRPr="00F02067">
        <w:rPr>
          <w:rFonts w:ascii="Arial" w:eastAsia="Times New Roman" w:hAnsi="Arial" w:cs="Arial"/>
          <w:color w:val="000000"/>
          <w:sz w:val="20"/>
          <w:szCs w:val="20"/>
          <w:lang w:eastAsia="en-IN"/>
        </w:rPr>
        <w:t>2. The enclosed </w:t>
      </w:r>
      <w:hyperlink r:id="rId27" w:anchor="ANN" w:history="1">
        <w:r w:rsidRPr="00F02067">
          <w:rPr>
            <w:rFonts w:ascii="Arial" w:eastAsia="Times New Roman" w:hAnsi="Arial" w:cs="Arial"/>
            <w:color w:val="0000FF"/>
            <w:sz w:val="20"/>
            <w:szCs w:val="20"/>
            <w:u w:val="single"/>
            <w:lang w:eastAsia="en-IN"/>
          </w:rPr>
          <w:t>Master Direction</w:t>
        </w:r>
      </w:hyperlink>
      <w:r w:rsidRPr="00F02067">
        <w:rPr>
          <w:rFonts w:ascii="Arial" w:eastAsia="Times New Roman" w:hAnsi="Arial" w:cs="Arial"/>
          <w:color w:val="000000"/>
          <w:sz w:val="20"/>
          <w:szCs w:val="20"/>
          <w:lang w:eastAsia="en-IN"/>
        </w:rPr>
        <w:t> incorporates updated guidelines / circulars on the subject.</w:t>
      </w:r>
    </w:p>
    <w:p w:rsidR="00F02067" w:rsidRPr="00F02067" w:rsidRDefault="00F02067" w:rsidP="00F02067">
      <w:pPr>
        <w:spacing w:before="100" w:beforeAutospacing="1" w:after="100" w:afterAutospacing="1" w:line="240" w:lineRule="auto"/>
        <w:jc w:val="both"/>
        <w:rPr>
          <w:rFonts w:ascii="Arial" w:eastAsia="Times New Roman" w:hAnsi="Arial" w:cs="Arial"/>
          <w:color w:val="000000"/>
          <w:sz w:val="20"/>
          <w:szCs w:val="20"/>
          <w:lang w:eastAsia="en-IN"/>
        </w:rPr>
      </w:pPr>
      <w:r w:rsidRPr="00F02067">
        <w:rPr>
          <w:rFonts w:ascii="Arial" w:eastAsia="Times New Roman" w:hAnsi="Arial" w:cs="Arial"/>
          <w:color w:val="000000"/>
          <w:sz w:val="20"/>
          <w:szCs w:val="20"/>
          <w:lang w:eastAsia="en-IN"/>
        </w:rPr>
        <w:t>Yours faithfully</w:t>
      </w:r>
    </w:p>
    <w:p w:rsidR="00F02067" w:rsidRDefault="00F02067" w:rsidP="00F02067">
      <w:pPr>
        <w:spacing w:before="100" w:beforeAutospacing="1" w:after="100" w:afterAutospacing="1" w:line="240" w:lineRule="auto"/>
        <w:rPr>
          <w:rFonts w:ascii="Arial" w:eastAsia="Times New Roman" w:hAnsi="Arial" w:cs="Arial"/>
          <w:color w:val="000000"/>
          <w:sz w:val="20"/>
          <w:szCs w:val="20"/>
          <w:lang w:eastAsia="en-IN"/>
        </w:rPr>
      </w:pPr>
      <w:r w:rsidRPr="00F02067">
        <w:rPr>
          <w:rFonts w:ascii="Arial" w:eastAsia="Times New Roman" w:hAnsi="Arial" w:cs="Arial"/>
          <w:color w:val="000000"/>
          <w:sz w:val="20"/>
          <w:szCs w:val="20"/>
          <w:lang w:eastAsia="en-IN"/>
        </w:rPr>
        <w:t>(Sanjeev Prakash)</w:t>
      </w:r>
      <w:r w:rsidRPr="00F02067">
        <w:rPr>
          <w:rFonts w:ascii="Arial" w:eastAsia="Times New Roman" w:hAnsi="Arial" w:cs="Arial"/>
          <w:color w:val="000000"/>
          <w:sz w:val="20"/>
          <w:szCs w:val="20"/>
          <w:lang w:eastAsia="en-IN"/>
        </w:rPr>
        <w:br/>
        <w:t>Chief General Manager</w:t>
      </w:r>
    </w:p>
    <w:p w:rsidR="00F02067" w:rsidRDefault="00F02067" w:rsidP="00F02067">
      <w:pPr>
        <w:spacing w:before="100" w:beforeAutospacing="1" w:after="100" w:afterAutospacing="1" w:line="240" w:lineRule="auto"/>
        <w:rPr>
          <w:rFonts w:ascii="Arial" w:eastAsia="Times New Roman" w:hAnsi="Arial" w:cs="Arial"/>
          <w:color w:val="000000"/>
          <w:sz w:val="20"/>
          <w:szCs w:val="20"/>
          <w:lang w:eastAsia="en-IN"/>
        </w:rPr>
      </w:pPr>
      <w:r w:rsidRPr="00F02067">
        <w:rPr>
          <w:rFonts w:ascii="Arial" w:eastAsia="Times New Roman" w:hAnsi="Arial" w:cs="Arial"/>
          <w:color w:val="000000"/>
          <w:sz w:val="20"/>
          <w:szCs w:val="20"/>
          <w:lang w:eastAsia="en-IN"/>
        </w:rPr>
        <w:t>For more details, kindly refer:</w:t>
      </w:r>
    </w:p>
    <w:p w:rsidR="00F02067" w:rsidRDefault="00F02067" w:rsidP="00F02067">
      <w:pPr>
        <w:spacing w:before="100" w:beforeAutospacing="1" w:after="100" w:afterAutospacing="1" w:line="240" w:lineRule="auto"/>
        <w:rPr>
          <w:rFonts w:ascii="Arial" w:eastAsia="Times New Roman" w:hAnsi="Arial" w:cs="Arial"/>
          <w:color w:val="000000"/>
          <w:sz w:val="20"/>
          <w:szCs w:val="20"/>
          <w:lang w:eastAsia="en-IN"/>
        </w:rPr>
      </w:pPr>
      <w:hyperlink r:id="rId28" w:history="1">
        <w:r w:rsidRPr="00692C03">
          <w:rPr>
            <w:rStyle w:val="Hyperlink"/>
            <w:rFonts w:ascii="Arial" w:eastAsia="Times New Roman" w:hAnsi="Arial" w:cs="Arial"/>
            <w:sz w:val="20"/>
            <w:szCs w:val="20"/>
            <w:lang w:eastAsia="en-IN"/>
          </w:rPr>
          <w:t>https://www.rbi.org.in/Scripts/NotificationUser.aspx?Id=12645&amp;Mode=0</w:t>
        </w:r>
      </w:hyperlink>
      <w:r>
        <w:rPr>
          <w:rFonts w:ascii="Arial" w:eastAsia="Times New Roman" w:hAnsi="Arial" w:cs="Arial"/>
          <w:color w:val="000000"/>
          <w:sz w:val="20"/>
          <w:szCs w:val="20"/>
          <w:lang w:eastAsia="en-IN"/>
        </w:rPr>
        <w:t xml:space="preserve"> </w:t>
      </w: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F4215D" w:rsidRPr="00F4215D" w:rsidRDefault="00F4215D" w:rsidP="00F4215D">
      <w:pPr>
        <w:spacing w:before="100" w:beforeAutospacing="1" w:after="100" w:afterAutospacing="1" w:line="240" w:lineRule="auto"/>
        <w:jc w:val="both"/>
        <w:rPr>
          <w:rFonts w:ascii="Arial" w:eastAsia="Times New Roman" w:hAnsi="Arial" w:cs="Arial"/>
          <w:b/>
          <w:bCs/>
          <w:color w:val="000000"/>
          <w:sz w:val="20"/>
          <w:szCs w:val="20"/>
          <w:lang w:eastAsia="en-IN"/>
        </w:rPr>
      </w:pPr>
      <w:r w:rsidRPr="00F4215D">
        <w:rPr>
          <w:rFonts w:ascii="Arial" w:eastAsia="Times New Roman" w:hAnsi="Arial" w:cs="Arial"/>
          <w:b/>
          <w:bCs/>
          <w:color w:val="000000"/>
          <w:sz w:val="20"/>
          <w:szCs w:val="20"/>
          <w:lang w:eastAsia="en-IN"/>
        </w:rPr>
        <w:lastRenderedPageBreak/>
        <w:t>Master Direction on Framework of incentives for Currency Distribution &amp; Exchange Scheme for bank branches including currency chests</w:t>
      </w:r>
    </w:p>
    <w:p w:rsidR="00F4215D" w:rsidRPr="00F4215D" w:rsidRDefault="00F4215D" w:rsidP="00F4215D">
      <w:pPr>
        <w:spacing w:before="100" w:beforeAutospacing="1" w:after="100" w:afterAutospacing="1" w:line="240" w:lineRule="auto"/>
        <w:jc w:val="both"/>
        <w:rPr>
          <w:rFonts w:ascii="Arial" w:eastAsia="Times New Roman" w:hAnsi="Arial" w:cs="Arial"/>
          <w:color w:val="000000"/>
          <w:sz w:val="20"/>
          <w:szCs w:val="20"/>
          <w:lang w:eastAsia="en-IN"/>
        </w:rPr>
      </w:pPr>
      <w:r w:rsidRPr="00F4215D">
        <w:rPr>
          <w:rFonts w:ascii="Arial" w:eastAsia="Times New Roman" w:hAnsi="Arial" w:cs="Arial"/>
          <w:color w:val="000000"/>
          <w:sz w:val="20"/>
          <w:szCs w:val="20"/>
          <w:lang w:eastAsia="en-IN"/>
        </w:rPr>
        <w:t>RBI/DCM/2024-25/113</w:t>
      </w:r>
      <w:r w:rsidRPr="00F4215D">
        <w:rPr>
          <w:rFonts w:ascii="Arial" w:eastAsia="Times New Roman" w:hAnsi="Arial" w:cs="Arial"/>
          <w:color w:val="000000"/>
          <w:sz w:val="20"/>
          <w:szCs w:val="20"/>
          <w:lang w:eastAsia="en-IN"/>
        </w:rPr>
        <w:br/>
        <w:t>DCM (CC) No.G-3/03.41.01/2024-25</w:t>
      </w:r>
    </w:p>
    <w:p w:rsidR="00F4215D" w:rsidRPr="00F4215D" w:rsidRDefault="00F4215D" w:rsidP="00F4215D">
      <w:pPr>
        <w:spacing w:before="100" w:beforeAutospacing="1" w:after="100" w:afterAutospacing="1" w:line="240" w:lineRule="auto"/>
        <w:jc w:val="right"/>
        <w:rPr>
          <w:rFonts w:ascii="Arial" w:eastAsia="Times New Roman" w:hAnsi="Arial" w:cs="Arial"/>
          <w:color w:val="000000"/>
          <w:sz w:val="20"/>
          <w:szCs w:val="20"/>
          <w:lang w:eastAsia="en-IN"/>
        </w:rPr>
      </w:pPr>
      <w:r w:rsidRPr="00F4215D">
        <w:rPr>
          <w:rFonts w:ascii="Arial" w:eastAsia="Times New Roman" w:hAnsi="Arial" w:cs="Arial"/>
          <w:color w:val="000000"/>
          <w:sz w:val="20"/>
          <w:szCs w:val="20"/>
          <w:lang w:eastAsia="en-IN"/>
        </w:rPr>
        <w:t>April 1, 2024</w:t>
      </w:r>
    </w:p>
    <w:p w:rsidR="00F4215D" w:rsidRPr="00F4215D" w:rsidRDefault="00F4215D" w:rsidP="00F4215D">
      <w:pPr>
        <w:spacing w:before="100" w:beforeAutospacing="1" w:after="100" w:afterAutospacing="1" w:line="240" w:lineRule="auto"/>
        <w:rPr>
          <w:rFonts w:ascii="Arial" w:eastAsia="Times New Roman" w:hAnsi="Arial" w:cs="Arial"/>
          <w:color w:val="000000"/>
          <w:sz w:val="20"/>
          <w:szCs w:val="20"/>
          <w:lang w:eastAsia="en-IN"/>
        </w:rPr>
      </w:pPr>
      <w:r w:rsidRPr="00F4215D">
        <w:rPr>
          <w:rFonts w:ascii="Arial" w:eastAsia="Times New Roman" w:hAnsi="Arial" w:cs="Arial"/>
          <w:color w:val="000000"/>
          <w:sz w:val="20"/>
          <w:szCs w:val="20"/>
          <w:lang w:eastAsia="en-IN"/>
        </w:rPr>
        <w:t>The Chairman / Managing Director / Chief Executive Officer</w:t>
      </w:r>
      <w:r w:rsidRPr="00F4215D">
        <w:rPr>
          <w:rFonts w:ascii="Arial" w:eastAsia="Times New Roman" w:hAnsi="Arial" w:cs="Arial"/>
          <w:color w:val="000000"/>
          <w:sz w:val="20"/>
          <w:szCs w:val="20"/>
          <w:lang w:eastAsia="en-IN"/>
        </w:rPr>
        <w:br/>
        <w:t>All banks</w:t>
      </w:r>
    </w:p>
    <w:p w:rsidR="00F4215D" w:rsidRPr="00F4215D" w:rsidRDefault="00F4215D" w:rsidP="00F4215D">
      <w:pPr>
        <w:spacing w:before="100" w:beforeAutospacing="1" w:after="100" w:afterAutospacing="1" w:line="240" w:lineRule="auto"/>
        <w:jc w:val="both"/>
        <w:rPr>
          <w:rFonts w:ascii="Arial" w:eastAsia="Times New Roman" w:hAnsi="Arial" w:cs="Arial"/>
          <w:color w:val="000000"/>
          <w:sz w:val="20"/>
          <w:szCs w:val="20"/>
          <w:lang w:eastAsia="en-IN"/>
        </w:rPr>
      </w:pPr>
      <w:r w:rsidRPr="00F4215D">
        <w:rPr>
          <w:rFonts w:ascii="Arial" w:eastAsia="Times New Roman" w:hAnsi="Arial" w:cs="Arial"/>
          <w:color w:val="000000"/>
          <w:sz w:val="20"/>
          <w:szCs w:val="20"/>
          <w:lang w:eastAsia="en-IN"/>
        </w:rPr>
        <w:t>Madam / Dear Sir,</w:t>
      </w:r>
    </w:p>
    <w:p w:rsidR="00F4215D" w:rsidRPr="00F4215D" w:rsidRDefault="00F4215D" w:rsidP="00F4215D">
      <w:pPr>
        <w:spacing w:before="100" w:beforeAutospacing="1" w:after="100" w:afterAutospacing="1" w:line="240" w:lineRule="auto"/>
        <w:jc w:val="both"/>
        <w:rPr>
          <w:rFonts w:ascii="Arial" w:eastAsia="Times New Roman" w:hAnsi="Arial" w:cs="Arial"/>
          <w:b/>
          <w:bCs/>
          <w:color w:val="000000"/>
          <w:sz w:val="20"/>
          <w:szCs w:val="20"/>
          <w:lang w:eastAsia="en-IN"/>
        </w:rPr>
      </w:pPr>
      <w:r w:rsidRPr="00F4215D">
        <w:rPr>
          <w:rFonts w:ascii="Arial" w:eastAsia="Times New Roman" w:hAnsi="Arial" w:cs="Arial"/>
          <w:b/>
          <w:bCs/>
          <w:color w:val="000000"/>
          <w:sz w:val="20"/>
          <w:szCs w:val="20"/>
          <w:lang w:eastAsia="en-IN"/>
        </w:rPr>
        <w:t>Master Direction on Framework of incentives for Currency Distribution &amp; Exchange Scheme for bank branches including currency chests</w:t>
      </w:r>
    </w:p>
    <w:p w:rsidR="00F4215D" w:rsidRPr="00F4215D" w:rsidRDefault="00F4215D" w:rsidP="00F4215D">
      <w:pPr>
        <w:spacing w:before="100" w:beforeAutospacing="1" w:after="100" w:afterAutospacing="1" w:line="240" w:lineRule="auto"/>
        <w:jc w:val="both"/>
        <w:rPr>
          <w:rFonts w:ascii="Arial" w:eastAsia="Times New Roman" w:hAnsi="Arial" w:cs="Arial"/>
          <w:color w:val="000000"/>
          <w:sz w:val="20"/>
          <w:szCs w:val="20"/>
          <w:lang w:eastAsia="en-IN"/>
        </w:rPr>
      </w:pPr>
      <w:r w:rsidRPr="00F4215D">
        <w:rPr>
          <w:rFonts w:ascii="Arial" w:eastAsia="Times New Roman" w:hAnsi="Arial" w:cs="Arial"/>
          <w:color w:val="000000"/>
          <w:sz w:val="20"/>
          <w:szCs w:val="20"/>
          <w:lang w:eastAsia="en-IN"/>
        </w:rPr>
        <w:t>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furthering these objectives, the Bank has formulated a framework of incentives titled Currency Distribution and Exchange Scheme (CDES) to encourage all the bank branches to provide better customer services to the members of public.</w:t>
      </w:r>
    </w:p>
    <w:p w:rsidR="00F4215D" w:rsidRPr="00F4215D" w:rsidRDefault="00F4215D" w:rsidP="00F4215D">
      <w:pPr>
        <w:spacing w:before="100" w:beforeAutospacing="1" w:after="100" w:afterAutospacing="1" w:line="240" w:lineRule="auto"/>
        <w:jc w:val="both"/>
        <w:rPr>
          <w:rFonts w:ascii="Arial" w:eastAsia="Times New Roman" w:hAnsi="Arial" w:cs="Arial"/>
          <w:color w:val="000000"/>
          <w:sz w:val="20"/>
          <w:szCs w:val="20"/>
          <w:lang w:eastAsia="en-IN"/>
        </w:rPr>
      </w:pPr>
      <w:r w:rsidRPr="00F4215D">
        <w:rPr>
          <w:rFonts w:ascii="Arial" w:eastAsia="Times New Roman" w:hAnsi="Arial" w:cs="Arial"/>
          <w:color w:val="000000"/>
          <w:sz w:val="20"/>
          <w:szCs w:val="20"/>
          <w:lang w:eastAsia="en-IN"/>
        </w:rPr>
        <w:t>2. The enclosed </w:t>
      </w:r>
      <w:hyperlink r:id="rId29" w:anchor="MD1" w:history="1">
        <w:r w:rsidRPr="00F4215D">
          <w:rPr>
            <w:rFonts w:ascii="Arial" w:eastAsia="Times New Roman" w:hAnsi="Arial" w:cs="Arial"/>
            <w:color w:val="0000FF"/>
            <w:sz w:val="20"/>
            <w:szCs w:val="20"/>
            <w:u w:val="single"/>
            <w:lang w:eastAsia="en-IN"/>
          </w:rPr>
          <w:t>Master Direction</w:t>
        </w:r>
      </w:hyperlink>
      <w:r w:rsidRPr="00F4215D">
        <w:rPr>
          <w:rFonts w:ascii="Arial" w:eastAsia="Times New Roman" w:hAnsi="Arial" w:cs="Arial"/>
          <w:color w:val="000000"/>
          <w:sz w:val="20"/>
          <w:szCs w:val="20"/>
          <w:lang w:eastAsia="en-IN"/>
        </w:rPr>
        <w:t> incorporates updated guidelines / circulars on the subject.</w:t>
      </w:r>
    </w:p>
    <w:p w:rsidR="00F4215D" w:rsidRPr="00F4215D" w:rsidRDefault="00F4215D" w:rsidP="00F4215D">
      <w:pPr>
        <w:spacing w:before="100" w:beforeAutospacing="1" w:after="100" w:afterAutospacing="1" w:line="240" w:lineRule="auto"/>
        <w:jc w:val="both"/>
        <w:rPr>
          <w:rFonts w:ascii="Arial" w:eastAsia="Times New Roman" w:hAnsi="Arial" w:cs="Arial"/>
          <w:color w:val="000000"/>
          <w:sz w:val="20"/>
          <w:szCs w:val="20"/>
          <w:lang w:eastAsia="en-IN"/>
        </w:rPr>
      </w:pPr>
      <w:r w:rsidRPr="00F4215D">
        <w:rPr>
          <w:rFonts w:ascii="Arial" w:eastAsia="Times New Roman" w:hAnsi="Arial" w:cs="Arial"/>
          <w:color w:val="000000"/>
          <w:sz w:val="20"/>
          <w:szCs w:val="20"/>
          <w:lang w:eastAsia="en-IN"/>
        </w:rPr>
        <w:t>Yours faithfully,</w:t>
      </w:r>
    </w:p>
    <w:p w:rsidR="00F4215D" w:rsidRDefault="00F4215D" w:rsidP="00F4215D">
      <w:pPr>
        <w:spacing w:before="100" w:beforeAutospacing="1" w:after="100" w:afterAutospacing="1" w:line="240" w:lineRule="auto"/>
        <w:rPr>
          <w:rFonts w:ascii="Arial" w:eastAsia="Times New Roman" w:hAnsi="Arial" w:cs="Arial"/>
          <w:color w:val="000000"/>
          <w:sz w:val="20"/>
          <w:szCs w:val="20"/>
          <w:lang w:eastAsia="en-IN"/>
        </w:rPr>
      </w:pPr>
      <w:r w:rsidRPr="00F4215D">
        <w:rPr>
          <w:rFonts w:ascii="Arial" w:eastAsia="Times New Roman" w:hAnsi="Arial" w:cs="Arial"/>
          <w:color w:val="000000"/>
          <w:sz w:val="20"/>
          <w:szCs w:val="20"/>
          <w:lang w:eastAsia="en-IN"/>
        </w:rPr>
        <w:t>(Sanjeev Prakash)</w:t>
      </w:r>
      <w:r w:rsidRPr="00F4215D">
        <w:rPr>
          <w:rFonts w:ascii="Arial" w:eastAsia="Times New Roman" w:hAnsi="Arial" w:cs="Arial"/>
          <w:color w:val="000000"/>
          <w:sz w:val="20"/>
          <w:szCs w:val="20"/>
          <w:lang w:eastAsia="en-IN"/>
        </w:rPr>
        <w:br/>
        <w:t>Chief General Manager</w:t>
      </w:r>
    </w:p>
    <w:p w:rsidR="00F4215D" w:rsidRDefault="00F4215D" w:rsidP="00F4215D">
      <w:pPr>
        <w:spacing w:before="100" w:beforeAutospacing="1" w:after="100" w:afterAutospacing="1" w:line="240" w:lineRule="auto"/>
        <w:rPr>
          <w:rFonts w:ascii="Arial" w:eastAsia="Times New Roman" w:hAnsi="Arial" w:cs="Arial"/>
          <w:b/>
          <w:color w:val="000000"/>
          <w:sz w:val="20"/>
          <w:szCs w:val="20"/>
          <w:lang w:eastAsia="en-IN"/>
        </w:rPr>
      </w:pPr>
      <w:r w:rsidRPr="00F4215D">
        <w:rPr>
          <w:rFonts w:ascii="Arial" w:eastAsia="Times New Roman" w:hAnsi="Arial" w:cs="Arial"/>
          <w:color w:val="000000"/>
          <w:sz w:val="20"/>
          <w:szCs w:val="20"/>
          <w:lang w:eastAsia="en-IN"/>
        </w:rPr>
        <w:t>For more details, kindly refer:</w:t>
      </w:r>
    </w:p>
    <w:p w:rsidR="00F4215D" w:rsidRPr="00F4215D" w:rsidRDefault="00F4215D" w:rsidP="00F4215D">
      <w:pPr>
        <w:spacing w:before="100" w:beforeAutospacing="1" w:after="100" w:afterAutospacing="1" w:line="240" w:lineRule="auto"/>
        <w:rPr>
          <w:rFonts w:ascii="Arial" w:eastAsia="Times New Roman" w:hAnsi="Arial" w:cs="Arial"/>
          <w:color w:val="000000"/>
          <w:sz w:val="20"/>
          <w:szCs w:val="20"/>
          <w:lang w:eastAsia="en-IN"/>
        </w:rPr>
      </w:pPr>
      <w:hyperlink r:id="rId30" w:history="1">
        <w:r w:rsidRPr="00F4215D">
          <w:rPr>
            <w:rStyle w:val="Hyperlink"/>
            <w:rFonts w:ascii="Arial" w:eastAsia="Times New Roman" w:hAnsi="Arial" w:cs="Arial"/>
            <w:sz w:val="20"/>
            <w:szCs w:val="20"/>
            <w:lang w:eastAsia="en-IN"/>
          </w:rPr>
          <w:t>https://www.rbi.org.in/Scripts/NotificationUser.aspx?Id=12646&amp;Mode=0</w:t>
        </w:r>
      </w:hyperlink>
    </w:p>
    <w:p w:rsidR="00F4215D" w:rsidRDefault="00F4215D"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A94B11" w:rsidRPr="00A94B11" w:rsidRDefault="00A94B11" w:rsidP="00A94B11">
      <w:pPr>
        <w:spacing w:before="100" w:beforeAutospacing="1" w:after="100" w:afterAutospacing="1" w:line="240" w:lineRule="auto"/>
        <w:jc w:val="both"/>
        <w:rPr>
          <w:rFonts w:ascii="Arial" w:eastAsia="Times New Roman" w:hAnsi="Arial" w:cs="Arial"/>
          <w:b/>
          <w:bCs/>
          <w:color w:val="000000"/>
          <w:sz w:val="20"/>
          <w:szCs w:val="20"/>
          <w:lang w:eastAsia="en-IN"/>
        </w:rPr>
      </w:pPr>
      <w:r w:rsidRPr="00A94B11">
        <w:rPr>
          <w:rFonts w:ascii="Arial" w:eastAsia="Times New Roman" w:hAnsi="Arial" w:cs="Arial"/>
          <w:b/>
          <w:bCs/>
          <w:color w:val="000000"/>
          <w:sz w:val="20"/>
          <w:szCs w:val="20"/>
          <w:lang w:eastAsia="en-IN"/>
        </w:rPr>
        <w:lastRenderedPageBreak/>
        <w:t>Master Direction on Penal Provisions in reporting of transactions / balances at Currency Chests</w:t>
      </w:r>
    </w:p>
    <w:p w:rsidR="00A94B11" w:rsidRPr="00A94B11" w:rsidRDefault="00A94B11" w:rsidP="00A94B11">
      <w:pPr>
        <w:spacing w:before="100" w:beforeAutospacing="1" w:after="100" w:afterAutospacing="1" w:line="240" w:lineRule="auto"/>
        <w:jc w:val="both"/>
        <w:rPr>
          <w:rFonts w:ascii="Arial" w:eastAsia="Times New Roman" w:hAnsi="Arial" w:cs="Arial"/>
          <w:color w:val="000000"/>
          <w:sz w:val="20"/>
          <w:szCs w:val="20"/>
          <w:lang w:eastAsia="en-IN"/>
        </w:rPr>
      </w:pPr>
      <w:r w:rsidRPr="00A94B11">
        <w:rPr>
          <w:rFonts w:ascii="Arial" w:eastAsia="Times New Roman" w:hAnsi="Arial" w:cs="Arial"/>
          <w:color w:val="000000"/>
          <w:sz w:val="20"/>
          <w:szCs w:val="20"/>
          <w:lang w:eastAsia="en-IN"/>
        </w:rPr>
        <w:t>RBI/DCM/2024-25/114</w:t>
      </w:r>
      <w:r w:rsidRPr="00A94B11">
        <w:rPr>
          <w:rFonts w:ascii="Arial" w:eastAsia="Times New Roman" w:hAnsi="Arial" w:cs="Arial"/>
          <w:color w:val="000000"/>
          <w:sz w:val="20"/>
          <w:szCs w:val="20"/>
          <w:lang w:eastAsia="en-IN"/>
        </w:rPr>
        <w:br/>
        <w:t>DCM (CC) No.G-2/03.35.01/2024-25</w:t>
      </w:r>
    </w:p>
    <w:p w:rsidR="00A94B11" w:rsidRPr="00A94B11" w:rsidRDefault="00A94B11" w:rsidP="00A94B11">
      <w:pPr>
        <w:spacing w:before="100" w:beforeAutospacing="1" w:after="100" w:afterAutospacing="1" w:line="240" w:lineRule="auto"/>
        <w:jc w:val="right"/>
        <w:rPr>
          <w:rFonts w:ascii="Arial" w:eastAsia="Times New Roman" w:hAnsi="Arial" w:cs="Arial"/>
          <w:color w:val="000000"/>
          <w:sz w:val="20"/>
          <w:szCs w:val="20"/>
          <w:lang w:eastAsia="en-IN"/>
        </w:rPr>
      </w:pPr>
      <w:r w:rsidRPr="00A94B11">
        <w:rPr>
          <w:rFonts w:ascii="Arial" w:eastAsia="Times New Roman" w:hAnsi="Arial" w:cs="Arial"/>
          <w:color w:val="000000"/>
          <w:sz w:val="20"/>
          <w:szCs w:val="20"/>
          <w:lang w:eastAsia="en-IN"/>
        </w:rPr>
        <w:t>April 01, 2024</w:t>
      </w:r>
    </w:p>
    <w:p w:rsidR="00A94B11" w:rsidRPr="00A94B11" w:rsidRDefault="00A94B11" w:rsidP="00A94B11">
      <w:pPr>
        <w:spacing w:before="100" w:beforeAutospacing="1" w:after="100" w:afterAutospacing="1" w:line="240" w:lineRule="auto"/>
        <w:rPr>
          <w:rFonts w:ascii="Arial" w:eastAsia="Times New Roman" w:hAnsi="Arial" w:cs="Arial"/>
          <w:color w:val="000000"/>
          <w:sz w:val="20"/>
          <w:szCs w:val="20"/>
          <w:lang w:eastAsia="en-IN"/>
        </w:rPr>
      </w:pPr>
      <w:r w:rsidRPr="00A94B11">
        <w:rPr>
          <w:rFonts w:ascii="Arial" w:eastAsia="Times New Roman" w:hAnsi="Arial" w:cs="Arial"/>
          <w:color w:val="000000"/>
          <w:sz w:val="20"/>
          <w:szCs w:val="20"/>
          <w:lang w:eastAsia="en-IN"/>
        </w:rPr>
        <w:t xml:space="preserve">The Chairman / Managing Director / Chief Executive </w:t>
      </w:r>
      <w:proofErr w:type="gramStart"/>
      <w:r w:rsidRPr="00A94B11">
        <w:rPr>
          <w:rFonts w:ascii="Arial" w:eastAsia="Times New Roman" w:hAnsi="Arial" w:cs="Arial"/>
          <w:color w:val="000000"/>
          <w:sz w:val="20"/>
          <w:szCs w:val="20"/>
          <w:lang w:eastAsia="en-IN"/>
        </w:rPr>
        <w:t>Officer</w:t>
      </w:r>
      <w:proofErr w:type="gramEnd"/>
      <w:r w:rsidRPr="00A94B11">
        <w:rPr>
          <w:rFonts w:ascii="Arial" w:eastAsia="Times New Roman" w:hAnsi="Arial" w:cs="Arial"/>
          <w:color w:val="000000"/>
          <w:sz w:val="20"/>
          <w:szCs w:val="20"/>
          <w:lang w:eastAsia="en-IN"/>
        </w:rPr>
        <w:br/>
        <w:t>(All banks having Currency Chests)</w:t>
      </w:r>
    </w:p>
    <w:p w:rsidR="00A94B11" w:rsidRPr="00A94B11" w:rsidRDefault="00A94B11" w:rsidP="00A94B11">
      <w:pPr>
        <w:spacing w:before="100" w:beforeAutospacing="1" w:after="100" w:afterAutospacing="1" w:line="240" w:lineRule="auto"/>
        <w:jc w:val="both"/>
        <w:rPr>
          <w:rFonts w:ascii="Arial" w:eastAsia="Times New Roman" w:hAnsi="Arial" w:cs="Arial"/>
          <w:color w:val="000000"/>
          <w:sz w:val="20"/>
          <w:szCs w:val="20"/>
          <w:lang w:eastAsia="en-IN"/>
        </w:rPr>
      </w:pPr>
      <w:r w:rsidRPr="00A94B11">
        <w:rPr>
          <w:rFonts w:ascii="Arial" w:eastAsia="Times New Roman" w:hAnsi="Arial" w:cs="Arial"/>
          <w:color w:val="000000"/>
          <w:sz w:val="20"/>
          <w:szCs w:val="20"/>
          <w:lang w:eastAsia="en-IN"/>
        </w:rPr>
        <w:t>Madam / Dear Sir,</w:t>
      </w:r>
    </w:p>
    <w:p w:rsidR="00A94B11" w:rsidRPr="00A94B11" w:rsidRDefault="00A94B11" w:rsidP="00A94B11">
      <w:pPr>
        <w:spacing w:before="100" w:beforeAutospacing="1" w:after="100" w:afterAutospacing="1" w:line="240" w:lineRule="auto"/>
        <w:jc w:val="both"/>
        <w:rPr>
          <w:rFonts w:ascii="Arial" w:eastAsia="Times New Roman" w:hAnsi="Arial" w:cs="Arial"/>
          <w:b/>
          <w:bCs/>
          <w:color w:val="000000"/>
          <w:sz w:val="20"/>
          <w:szCs w:val="20"/>
          <w:lang w:eastAsia="en-IN"/>
        </w:rPr>
      </w:pPr>
      <w:r w:rsidRPr="00A94B11">
        <w:rPr>
          <w:rFonts w:ascii="Arial" w:eastAsia="Times New Roman" w:hAnsi="Arial" w:cs="Arial"/>
          <w:b/>
          <w:bCs/>
          <w:color w:val="000000"/>
          <w:sz w:val="20"/>
          <w:szCs w:val="20"/>
          <w:lang w:eastAsia="en-IN"/>
        </w:rPr>
        <w:t>Master Direction on Penal Provisions in reporting of transactions / balances at Currency Chests</w:t>
      </w:r>
    </w:p>
    <w:p w:rsidR="00A94B11" w:rsidRPr="00A94B11" w:rsidRDefault="00A94B11" w:rsidP="00A94B11">
      <w:pPr>
        <w:spacing w:before="100" w:beforeAutospacing="1" w:after="100" w:afterAutospacing="1" w:line="240" w:lineRule="auto"/>
        <w:jc w:val="both"/>
        <w:rPr>
          <w:rFonts w:ascii="Arial" w:eastAsia="Times New Roman" w:hAnsi="Arial" w:cs="Arial"/>
          <w:color w:val="000000"/>
          <w:sz w:val="20"/>
          <w:szCs w:val="20"/>
          <w:lang w:eastAsia="en-IN"/>
        </w:rPr>
      </w:pPr>
      <w:r w:rsidRPr="00A94B11">
        <w:rPr>
          <w:rFonts w:ascii="Arial" w:eastAsia="Times New Roman" w:hAnsi="Arial" w:cs="Arial"/>
          <w:color w:val="000000"/>
          <w:sz w:val="20"/>
          <w:szCs w:val="20"/>
          <w:lang w:eastAsia="en-IN"/>
        </w:rPr>
        <w:t xml:space="preserve">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sustain these efforts and to ensure timely and accurate reporting of currency chest transactions, instructions on the subject </w:t>
      </w:r>
      <w:proofErr w:type="gramStart"/>
      <w:r w:rsidRPr="00A94B11">
        <w:rPr>
          <w:rFonts w:ascii="Arial" w:eastAsia="Times New Roman" w:hAnsi="Arial" w:cs="Arial"/>
          <w:color w:val="000000"/>
          <w:sz w:val="20"/>
          <w:szCs w:val="20"/>
          <w:lang w:eastAsia="en-IN"/>
        </w:rPr>
        <w:t>have been issued</w:t>
      </w:r>
      <w:proofErr w:type="gramEnd"/>
      <w:r w:rsidRPr="00A94B11">
        <w:rPr>
          <w:rFonts w:ascii="Arial" w:eastAsia="Times New Roman" w:hAnsi="Arial" w:cs="Arial"/>
          <w:color w:val="000000"/>
          <w:sz w:val="20"/>
          <w:szCs w:val="20"/>
          <w:lang w:eastAsia="en-IN"/>
        </w:rPr>
        <w:t xml:space="preserve"> from time to time.</w:t>
      </w:r>
    </w:p>
    <w:p w:rsidR="00A94B11" w:rsidRPr="00A94B11" w:rsidRDefault="00A94B11" w:rsidP="00A94B11">
      <w:pPr>
        <w:spacing w:before="100" w:beforeAutospacing="1" w:after="100" w:afterAutospacing="1" w:line="240" w:lineRule="auto"/>
        <w:jc w:val="both"/>
        <w:rPr>
          <w:rFonts w:ascii="Arial" w:eastAsia="Times New Roman" w:hAnsi="Arial" w:cs="Arial"/>
          <w:color w:val="000000"/>
          <w:sz w:val="20"/>
          <w:szCs w:val="20"/>
          <w:lang w:eastAsia="en-IN"/>
        </w:rPr>
      </w:pPr>
      <w:r w:rsidRPr="00A94B11">
        <w:rPr>
          <w:rFonts w:ascii="Arial" w:eastAsia="Times New Roman" w:hAnsi="Arial" w:cs="Arial"/>
          <w:color w:val="000000"/>
          <w:sz w:val="20"/>
          <w:szCs w:val="20"/>
          <w:lang w:eastAsia="en-IN"/>
        </w:rPr>
        <w:t>2. The enclosed </w:t>
      </w:r>
      <w:hyperlink r:id="rId31" w:anchor="MD1" w:history="1">
        <w:r w:rsidRPr="00A94B11">
          <w:rPr>
            <w:rFonts w:ascii="Arial" w:eastAsia="Times New Roman" w:hAnsi="Arial" w:cs="Arial"/>
            <w:color w:val="0000FF"/>
            <w:sz w:val="20"/>
            <w:szCs w:val="20"/>
            <w:u w:val="single"/>
            <w:lang w:eastAsia="en-IN"/>
          </w:rPr>
          <w:t>Master Direction</w:t>
        </w:r>
      </w:hyperlink>
      <w:r w:rsidRPr="00A94B11">
        <w:rPr>
          <w:rFonts w:ascii="Arial" w:eastAsia="Times New Roman" w:hAnsi="Arial" w:cs="Arial"/>
          <w:color w:val="000000"/>
          <w:sz w:val="20"/>
          <w:szCs w:val="20"/>
          <w:lang w:eastAsia="en-IN"/>
        </w:rPr>
        <w:t> incorporates updated guidelines / circulars on the subject.</w:t>
      </w:r>
    </w:p>
    <w:p w:rsidR="00A94B11" w:rsidRPr="00A94B11" w:rsidRDefault="00A94B11" w:rsidP="00A94B11">
      <w:pPr>
        <w:spacing w:before="100" w:beforeAutospacing="1" w:after="100" w:afterAutospacing="1" w:line="240" w:lineRule="auto"/>
        <w:jc w:val="both"/>
        <w:rPr>
          <w:rFonts w:ascii="Arial" w:eastAsia="Times New Roman" w:hAnsi="Arial" w:cs="Arial"/>
          <w:color w:val="000000"/>
          <w:sz w:val="20"/>
          <w:szCs w:val="20"/>
          <w:lang w:eastAsia="en-IN"/>
        </w:rPr>
      </w:pPr>
      <w:r w:rsidRPr="00A94B11">
        <w:rPr>
          <w:rFonts w:ascii="Arial" w:eastAsia="Times New Roman" w:hAnsi="Arial" w:cs="Arial"/>
          <w:color w:val="000000"/>
          <w:sz w:val="20"/>
          <w:szCs w:val="20"/>
          <w:lang w:eastAsia="en-IN"/>
        </w:rPr>
        <w:t>Yours faithfully,</w:t>
      </w:r>
    </w:p>
    <w:p w:rsidR="00A94B11" w:rsidRDefault="00A94B11" w:rsidP="00A94B11">
      <w:pPr>
        <w:spacing w:before="100" w:beforeAutospacing="1" w:after="100" w:afterAutospacing="1" w:line="240" w:lineRule="auto"/>
        <w:rPr>
          <w:rFonts w:ascii="Arial" w:eastAsia="Times New Roman" w:hAnsi="Arial" w:cs="Arial"/>
          <w:color w:val="000000"/>
          <w:sz w:val="20"/>
          <w:szCs w:val="20"/>
          <w:lang w:eastAsia="en-IN"/>
        </w:rPr>
      </w:pPr>
      <w:r w:rsidRPr="00A94B11">
        <w:rPr>
          <w:rFonts w:ascii="Arial" w:eastAsia="Times New Roman" w:hAnsi="Arial" w:cs="Arial"/>
          <w:color w:val="000000"/>
          <w:sz w:val="20"/>
          <w:szCs w:val="20"/>
          <w:lang w:eastAsia="en-IN"/>
        </w:rPr>
        <w:t>(Sanjeev Prakash)</w:t>
      </w:r>
      <w:r w:rsidRPr="00A94B11">
        <w:rPr>
          <w:rFonts w:ascii="Arial" w:eastAsia="Times New Roman" w:hAnsi="Arial" w:cs="Arial"/>
          <w:color w:val="000000"/>
          <w:sz w:val="20"/>
          <w:szCs w:val="20"/>
          <w:lang w:eastAsia="en-IN"/>
        </w:rPr>
        <w:br/>
        <w:t>Chief General Manager</w:t>
      </w:r>
    </w:p>
    <w:p w:rsidR="00A94B11" w:rsidRDefault="00A94B11" w:rsidP="00A94B11">
      <w:pPr>
        <w:spacing w:before="100" w:beforeAutospacing="1" w:after="100" w:afterAutospacing="1" w:line="240" w:lineRule="auto"/>
        <w:rPr>
          <w:rFonts w:ascii="Arial" w:eastAsia="Times New Roman" w:hAnsi="Arial" w:cs="Arial"/>
          <w:color w:val="000000"/>
          <w:sz w:val="20"/>
          <w:szCs w:val="20"/>
          <w:lang w:eastAsia="en-IN"/>
        </w:rPr>
      </w:pPr>
      <w:r w:rsidRPr="00A94B11">
        <w:rPr>
          <w:rFonts w:ascii="Arial" w:eastAsia="Times New Roman" w:hAnsi="Arial" w:cs="Arial"/>
          <w:color w:val="000000"/>
          <w:sz w:val="20"/>
          <w:szCs w:val="20"/>
          <w:lang w:eastAsia="en-IN"/>
        </w:rPr>
        <w:t>For more details, kindly refer:</w:t>
      </w:r>
    </w:p>
    <w:p w:rsidR="00A94B11" w:rsidRDefault="00A94B11" w:rsidP="00A94B11">
      <w:pPr>
        <w:spacing w:before="100" w:beforeAutospacing="1" w:after="100" w:afterAutospacing="1" w:line="240" w:lineRule="auto"/>
        <w:rPr>
          <w:rFonts w:ascii="Arial" w:eastAsia="Times New Roman" w:hAnsi="Arial" w:cs="Arial"/>
          <w:color w:val="000000"/>
          <w:sz w:val="20"/>
          <w:szCs w:val="20"/>
          <w:lang w:eastAsia="en-IN"/>
        </w:rPr>
      </w:pPr>
      <w:hyperlink r:id="rId32" w:history="1">
        <w:r w:rsidRPr="00692C03">
          <w:rPr>
            <w:rStyle w:val="Hyperlink"/>
            <w:rFonts w:ascii="Arial" w:eastAsia="Times New Roman" w:hAnsi="Arial" w:cs="Arial"/>
            <w:sz w:val="20"/>
            <w:szCs w:val="20"/>
            <w:lang w:eastAsia="en-IN"/>
          </w:rPr>
          <w:t>https://www.rbi.org.in/Scripts/NotificationUser.aspx?Id=12648&amp;Mode=0</w:t>
        </w:r>
      </w:hyperlink>
      <w:r>
        <w:rPr>
          <w:rFonts w:ascii="Arial" w:eastAsia="Times New Roman" w:hAnsi="Arial" w:cs="Arial"/>
          <w:color w:val="000000"/>
          <w:sz w:val="20"/>
          <w:szCs w:val="20"/>
          <w:lang w:eastAsia="en-IN"/>
        </w:rPr>
        <w:t xml:space="preserve"> </w:t>
      </w: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9214FA" w:rsidRPr="009214FA" w:rsidRDefault="009214FA" w:rsidP="009214FA">
      <w:pPr>
        <w:spacing w:before="100" w:beforeAutospacing="1" w:after="100" w:afterAutospacing="1" w:line="240" w:lineRule="auto"/>
        <w:jc w:val="both"/>
        <w:rPr>
          <w:rFonts w:ascii="Arial" w:eastAsia="Times New Roman" w:hAnsi="Arial" w:cs="Arial"/>
          <w:b/>
          <w:bCs/>
          <w:color w:val="000000"/>
          <w:sz w:val="20"/>
          <w:szCs w:val="20"/>
          <w:lang w:eastAsia="en-IN"/>
        </w:rPr>
      </w:pPr>
      <w:r w:rsidRPr="009214FA">
        <w:rPr>
          <w:rFonts w:ascii="Arial" w:eastAsia="Times New Roman" w:hAnsi="Arial" w:cs="Arial"/>
          <w:b/>
          <w:bCs/>
          <w:color w:val="000000"/>
          <w:sz w:val="20"/>
          <w:szCs w:val="20"/>
          <w:lang w:eastAsia="en-IN"/>
        </w:rPr>
        <w:lastRenderedPageBreak/>
        <w:t>Master Circular - Disbursement of Government Pension by Agency Banks</w:t>
      </w:r>
    </w:p>
    <w:p w:rsidR="009214FA" w:rsidRPr="009214FA" w:rsidRDefault="009214FA" w:rsidP="009214FA">
      <w:pPr>
        <w:spacing w:before="100" w:beforeAutospacing="1" w:after="100" w:afterAutospacing="1" w:line="240" w:lineRule="auto"/>
        <w:jc w:val="both"/>
        <w:rPr>
          <w:rFonts w:ascii="Arial" w:eastAsia="Times New Roman" w:hAnsi="Arial" w:cs="Arial"/>
          <w:color w:val="000000"/>
          <w:sz w:val="20"/>
          <w:szCs w:val="20"/>
          <w:lang w:eastAsia="en-IN"/>
        </w:rPr>
      </w:pPr>
      <w:r w:rsidRPr="009214FA">
        <w:rPr>
          <w:rFonts w:ascii="Arial" w:eastAsia="Times New Roman" w:hAnsi="Arial" w:cs="Arial"/>
          <w:color w:val="000000"/>
          <w:sz w:val="20"/>
          <w:szCs w:val="20"/>
          <w:lang w:eastAsia="en-IN"/>
        </w:rPr>
        <w:t>RBI/2024-25/06</w:t>
      </w:r>
      <w:r w:rsidRPr="009214FA">
        <w:rPr>
          <w:rFonts w:ascii="Arial" w:eastAsia="Times New Roman" w:hAnsi="Arial" w:cs="Arial"/>
          <w:color w:val="000000"/>
          <w:sz w:val="20"/>
          <w:szCs w:val="20"/>
          <w:lang w:eastAsia="en-IN"/>
        </w:rPr>
        <w:br/>
        <w:t>DGBA.GBD.No.S1/31.02.007/2024-25</w:t>
      </w:r>
    </w:p>
    <w:p w:rsidR="009214FA" w:rsidRPr="009214FA" w:rsidRDefault="009214FA" w:rsidP="009214FA">
      <w:pPr>
        <w:spacing w:before="100" w:beforeAutospacing="1" w:after="100" w:afterAutospacing="1" w:line="240" w:lineRule="auto"/>
        <w:jc w:val="right"/>
        <w:rPr>
          <w:rFonts w:ascii="Arial" w:eastAsia="Times New Roman" w:hAnsi="Arial" w:cs="Arial"/>
          <w:color w:val="000000"/>
          <w:sz w:val="20"/>
          <w:szCs w:val="20"/>
          <w:lang w:eastAsia="en-IN"/>
        </w:rPr>
      </w:pPr>
      <w:r w:rsidRPr="009214FA">
        <w:rPr>
          <w:rFonts w:ascii="Arial" w:eastAsia="Times New Roman" w:hAnsi="Arial" w:cs="Arial"/>
          <w:color w:val="000000"/>
          <w:sz w:val="20"/>
          <w:szCs w:val="20"/>
          <w:lang w:eastAsia="en-IN"/>
        </w:rPr>
        <w:t>April 01, 2024</w:t>
      </w:r>
    </w:p>
    <w:p w:rsidR="009214FA" w:rsidRPr="009214FA" w:rsidRDefault="009214FA" w:rsidP="009214FA">
      <w:pPr>
        <w:spacing w:before="100" w:beforeAutospacing="1" w:after="100" w:afterAutospacing="1" w:line="240" w:lineRule="auto"/>
        <w:jc w:val="both"/>
        <w:rPr>
          <w:rFonts w:ascii="Arial" w:eastAsia="Times New Roman" w:hAnsi="Arial" w:cs="Arial"/>
          <w:color w:val="000000"/>
          <w:sz w:val="20"/>
          <w:szCs w:val="20"/>
          <w:lang w:eastAsia="en-IN"/>
        </w:rPr>
      </w:pPr>
      <w:r w:rsidRPr="009214FA">
        <w:rPr>
          <w:rFonts w:ascii="Arial" w:eastAsia="Times New Roman" w:hAnsi="Arial" w:cs="Arial"/>
          <w:color w:val="000000"/>
          <w:sz w:val="20"/>
          <w:szCs w:val="20"/>
          <w:lang w:eastAsia="en-IN"/>
        </w:rPr>
        <w:t>All Agency Banks</w:t>
      </w:r>
    </w:p>
    <w:p w:rsidR="009214FA" w:rsidRPr="009214FA" w:rsidRDefault="009214FA" w:rsidP="009214FA">
      <w:pPr>
        <w:spacing w:before="100" w:beforeAutospacing="1" w:after="100" w:afterAutospacing="1" w:line="240" w:lineRule="auto"/>
        <w:jc w:val="both"/>
        <w:rPr>
          <w:rFonts w:ascii="Arial" w:eastAsia="Times New Roman" w:hAnsi="Arial" w:cs="Arial"/>
          <w:color w:val="000000"/>
          <w:sz w:val="20"/>
          <w:szCs w:val="20"/>
          <w:lang w:eastAsia="en-IN"/>
        </w:rPr>
      </w:pPr>
      <w:r w:rsidRPr="009214FA">
        <w:rPr>
          <w:rFonts w:ascii="Arial" w:eastAsia="Times New Roman" w:hAnsi="Arial" w:cs="Arial"/>
          <w:color w:val="000000"/>
          <w:sz w:val="20"/>
          <w:szCs w:val="20"/>
          <w:lang w:eastAsia="en-IN"/>
        </w:rPr>
        <w:t>Madam/Dear Sir</w:t>
      </w:r>
    </w:p>
    <w:p w:rsidR="009214FA" w:rsidRPr="009214FA" w:rsidRDefault="009214FA" w:rsidP="009214FA">
      <w:pPr>
        <w:spacing w:before="100" w:beforeAutospacing="1" w:after="100" w:afterAutospacing="1" w:line="240" w:lineRule="auto"/>
        <w:jc w:val="both"/>
        <w:rPr>
          <w:rFonts w:ascii="Arial" w:eastAsia="Times New Roman" w:hAnsi="Arial" w:cs="Arial"/>
          <w:b/>
          <w:bCs/>
          <w:color w:val="000000"/>
          <w:sz w:val="20"/>
          <w:szCs w:val="20"/>
          <w:lang w:eastAsia="en-IN"/>
        </w:rPr>
      </w:pPr>
      <w:r w:rsidRPr="009214FA">
        <w:rPr>
          <w:rFonts w:ascii="Arial" w:eastAsia="Times New Roman" w:hAnsi="Arial" w:cs="Arial"/>
          <w:b/>
          <w:bCs/>
          <w:color w:val="000000"/>
          <w:sz w:val="20"/>
          <w:szCs w:val="20"/>
          <w:lang w:eastAsia="en-IN"/>
        </w:rPr>
        <w:t>Master Circular - Disbursement of Government Pension by Agency Banks</w:t>
      </w:r>
    </w:p>
    <w:p w:rsidR="009214FA" w:rsidRPr="009214FA" w:rsidRDefault="009214FA" w:rsidP="009214FA">
      <w:pPr>
        <w:spacing w:before="100" w:beforeAutospacing="1" w:after="100" w:afterAutospacing="1" w:line="240" w:lineRule="auto"/>
        <w:jc w:val="both"/>
        <w:rPr>
          <w:rFonts w:ascii="Arial" w:eastAsia="Times New Roman" w:hAnsi="Arial" w:cs="Arial"/>
          <w:color w:val="000000"/>
          <w:sz w:val="20"/>
          <w:szCs w:val="20"/>
          <w:lang w:eastAsia="en-IN"/>
        </w:rPr>
      </w:pPr>
      <w:r w:rsidRPr="009214FA">
        <w:rPr>
          <w:rFonts w:ascii="Arial" w:eastAsia="Times New Roman" w:hAnsi="Arial" w:cs="Arial"/>
          <w:color w:val="000000"/>
          <w:sz w:val="20"/>
          <w:szCs w:val="20"/>
          <w:lang w:eastAsia="en-IN"/>
        </w:rPr>
        <w:t>Please refer to our </w:t>
      </w:r>
      <w:hyperlink r:id="rId33" w:tgtFrame="_blank" w:history="1">
        <w:r w:rsidRPr="009214FA">
          <w:rPr>
            <w:rFonts w:ascii="Arial" w:eastAsia="Times New Roman" w:hAnsi="Arial" w:cs="Arial"/>
            <w:color w:val="0000FF"/>
            <w:sz w:val="20"/>
            <w:szCs w:val="20"/>
            <w:u w:val="single"/>
            <w:lang w:eastAsia="en-IN"/>
          </w:rPr>
          <w:t>Master Circular RBI/2023-24/10 dated April 03, 2023</w:t>
        </w:r>
      </w:hyperlink>
      <w:r w:rsidRPr="009214FA">
        <w:rPr>
          <w:rFonts w:ascii="Arial" w:eastAsia="Times New Roman" w:hAnsi="Arial" w:cs="Arial"/>
          <w:color w:val="000000"/>
          <w:sz w:val="20"/>
          <w:szCs w:val="20"/>
          <w:lang w:eastAsia="en-IN"/>
        </w:rPr>
        <w:t xml:space="preserve"> on the above subject. We have revised and updated the Master </w:t>
      </w:r>
      <w:proofErr w:type="gramStart"/>
      <w:r w:rsidRPr="009214FA">
        <w:rPr>
          <w:rFonts w:ascii="Arial" w:eastAsia="Times New Roman" w:hAnsi="Arial" w:cs="Arial"/>
          <w:color w:val="000000"/>
          <w:sz w:val="20"/>
          <w:szCs w:val="20"/>
          <w:lang w:eastAsia="en-IN"/>
        </w:rPr>
        <w:t>Circular which</w:t>
      </w:r>
      <w:proofErr w:type="gramEnd"/>
      <w:r w:rsidRPr="009214FA">
        <w:rPr>
          <w:rFonts w:ascii="Arial" w:eastAsia="Times New Roman" w:hAnsi="Arial" w:cs="Arial"/>
          <w:color w:val="000000"/>
          <w:sz w:val="20"/>
          <w:szCs w:val="20"/>
          <w:lang w:eastAsia="en-IN"/>
        </w:rPr>
        <w:t xml:space="preserve"> consolidates important instructions on the subject issued by the Reserve Bank of India till March 31, 2024.</w:t>
      </w:r>
    </w:p>
    <w:p w:rsidR="009214FA" w:rsidRPr="009214FA" w:rsidRDefault="009214FA" w:rsidP="009214FA">
      <w:pPr>
        <w:spacing w:before="100" w:beforeAutospacing="1" w:after="100" w:afterAutospacing="1" w:line="240" w:lineRule="auto"/>
        <w:jc w:val="both"/>
        <w:rPr>
          <w:rFonts w:ascii="Arial" w:eastAsia="Times New Roman" w:hAnsi="Arial" w:cs="Arial"/>
          <w:color w:val="000000"/>
          <w:sz w:val="20"/>
          <w:szCs w:val="20"/>
          <w:lang w:eastAsia="en-IN"/>
        </w:rPr>
      </w:pPr>
      <w:r w:rsidRPr="009214FA">
        <w:rPr>
          <w:rFonts w:ascii="Arial" w:eastAsia="Times New Roman" w:hAnsi="Arial" w:cs="Arial"/>
          <w:color w:val="000000"/>
          <w:sz w:val="20"/>
          <w:szCs w:val="20"/>
          <w:lang w:eastAsia="en-IN"/>
        </w:rPr>
        <w:t>2. A copy of the revised </w:t>
      </w:r>
      <w:hyperlink r:id="rId34" w:anchor="MC" w:history="1">
        <w:r w:rsidRPr="009214FA">
          <w:rPr>
            <w:rFonts w:ascii="Arial" w:eastAsia="Times New Roman" w:hAnsi="Arial" w:cs="Arial"/>
            <w:color w:val="0000FF"/>
            <w:sz w:val="20"/>
            <w:szCs w:val="20"/>
            <w:u w:val="single"/>
            <w:lang w:eastAsia="en-IN"/>
          </w:rPr>
          <w:t>Master Circular</w:t>
        </w:r>
      </w:hyperlink>
      <w:r w:rsidRPr="009214FA">
        <w:rPr>
          <w:rFonts w:ascii="Arial" w:eastAsia="Times New Roman" w:hAnsi="Arial" w:cs="Arial"/>
          <w:color w:val="000000"/>
          <w:sz w:val="20"/>
          <w:szCs w:val="20"/>
          <w:lang w:eastAsia="en-IN"/>
        </w:rPr>
        <w:t> </w:t>
      </w:r>
      <w:proofErr w:type="gramStart"/>
      <w:r w:rsidRPr="009214FA">
        <w:rPr>
          <w:rFonts w:ascii="Arial" w:eastAsia="Times New Roman" w:hAnsi="Arial" w:cs="Arial"/>
          <w:color w:val="000000"/>
          <w:sz w:val="20"/>
          <w:szCs w:val="20"/>
          <w:lang w:eastAsia="en-IN"/>
        </w:rPr>
        <w:t>is enclosed</w:t>
      </w:r>
      <w:proofErr w:type="gramEnd"/>
      <w:r w:rsidRPr="009214FA">
        <w:rPr>
          <w:rFonts w:ascii="Arial" w:eastAsia="Times New Roman" w:hAnsi="Arial" w:cs="Arial"/>
          <w:color w:val="000000"/>
          <w:sz w:val="20"/>
          <w:szCs w:val="20"/>
          <w:lang w:eastAsia="en-IN"/>
        </w:rPr>
        <w:t xml:space="preserve"> for your information. This circular </w:t>
      </w:r>
      <w:proofErr w:type="gramStart"/>
      <w:r w:rsidRPr="009214FA">
        <w:rPr>
          <w:rFonts w:ascii="Arial" w:eastAsia="Times New Roman" w:hAnsi="Arial" w:cs="Arial"/>
          <w:color w:val="000000"/>
          <w:sz w:val="20"/>
          <w:szCs w:val="20"/>
          <w:lang w:eastAsia="en-IN"/>
        </w:rPr>
        <w:t>may also be downloaded</w:t>
      </w:r>
      <w:proofErr w:type="gramEnd"/>
      <w:r w:rsidRPr="009214FA">
        <w:rPr>
          <w:rFonts w:ascii="Arial" w:eastAsia="Times New Roman" w:hAnsi="Arial" w:cs="Arial"/>
          <w:color w:val="000000"/>
          <w:sz w:val="20"/>
          <w:szCs w:val="20"/>
          <w:lang w:eastAsia="en-IN"/>
        </w:rPr>
        <w:t xml:space="preserve"> from our website </w:t>
      </w:r>
      <w:hyperlink r:id="rId35" w:tgtFrame="_blank" w:history="1">
        <w:r w:rsidRPr="009214FA">
          <w:rPr>
            <w:rFonts w:ascii="Arial" w:eastAsia="Times New Roman" w:hAnsi="Arial" w:cs="Arial"/>
            <w:color w:val="0000FF"/>
            <w:sz w:val="20"/>
            <w:szCs w:val="20"/>
            <w:u w:val="single"/>
            <w:lang w:eastAsia="en-IN"/>
          </w:rPr>
          <w:t>https://mastercirculars.rbi.org.in</w:t>
        </w:r>
      </w:hyperlink>
      <w:r w:rsidRPr="009214FA">
        <w:rPr>
          <w:rFonts w:ascii="Arial" w:eastAsia="Times New Roman" w:hAnsi="Arial" w:cs="Arial"/>
          <w:color w:val="000000"/>
          <w:sz w:val="20"/>
          <w:szCs w:val="20"/>
          <w:lang w:eastAsia="en-IN"/>
        </w:rPr>
        <w:t>.</w:t>
      </w:r>
    </w:p>
    <w:p w:rsidR="009214FA" w:rsidRPr="009214FA" w:rsidRDefault="009214FA" w:rsidP="009214FA">
      <w:pPr>
        <w:spacing w:before="100" w:beforeAutospacing="1" w:after="100" w:afterAutospacing="1" w:line="240" w:lineRule="auto"/>
        <w:jc w:val="both"/>
        <w:rPr>
          <w:rFonts w:ascii="Arial" w:eastAsia="Times New Roman" w:hAnsi="Arial" w:cs="Arial"/>
          <w:color w:val="000000"/>
          <w:sz w:val="20"/>
          <w:szCs w:val="20"/>
          <w:lang w:eastAsia="en-IN"/>
        </w:rPr>
      </w:pPr>
      <w:r w:rsidRPr="009214FA">
        <w:rPr>
          <w:rFonts w:ascii="Arial" w:eastAsia="Times New Roman" w:hAnsi="Arial" w:cs="Arial"/>
          <w:color w:val="000000"/>
          <w:sz w:val="20"/>
          <w:szCs w:val="20"/>
          <w:lang w:eastAsia="en-IN"/>
        </w:rPr>
        <w:t>Yours faithfully</w:t>
      </w:r>
    </w:p>
    <w:p w:rsidR="009214FA" w:rsidRDefault="009214FA" w:rsidP="009214FA">
      <w:pPr>
        <w:spacing w:before="100" w:beforeAutospacing="1" w:after="100" w:afterAutospacing="1" w:line="240" w:lineRule="auto"/>
        <w:rPr>
          <w:rFonts w:ascii="Arial" w:eastAsia="Times New Roman" w:hAnsi="Arial" w:cs="Arial"/>
          <w:color w:val="000000"/>
          <w:sz w:val="20"/>
          <w:szCs w:val="20"/>
          <w:lang w:eastAsia="en-IN"/>
        </w:rPr>
      </w:pPr>
      <w:r w:rsidRPr="009214FA">
        <w:rPr>
          <w:rFonts w:ascii="Arial" w:eastAsia="Times New Roman" w:hAnsi="Arial" w:cs="Arial"/>
          <w:color w:val="000000"/>
          <w:sz w:val="20"/>
          <w:szCs w:val="20"/>
          <w:lang w:eastAsia="en-IN"/>
        </w:rPr>
        <w:t>(</w:t>
      </w:r>
      <w:proofErr w:type="spellStart"/>
      <w:r w:rsidRPr="009214FA">
        <w:rPr>
          <w:rFonts w:ascii="Arial" w:eastAsia="Times New Roman" w:hAnsi="Arial" w:cs="Arial"/>
          <w:color w:val="000000"/>
          <w:sz w:val="20"/>
          <w:szCs w:val="20"/>
          <w:lang w:eastAsia="en-IN"/>
        </w:rPr>
        <w:t>Indranil</w:t>
      </w:r>
      <w:proofErr w:type="spellEnd"/>
      <w:r w:rsidRPr="009214FA">
        <w:rPr>
          <w:rFonts w:ascii="Arial" w:eastAsia="Times New Roman" w:hAnsi="Arial" w:cs="Arial"/>
          <w:color w:val="000000"/>
          <w:sz w:val="20"/>
          <w:szCs w:val="20"/>
          <w:lang w:eastAsia="en-IN"/>
        </w:rPr>
        <w:t xml:space="preserve"> Chakraborty)</w:t>
      </w:r>
      <w:r w:rsidRPr="009214FA">
        <w:rPr>
          <w:rFonts w:ascii="Arial" w:eastAsia="Times New Roman" w:hAnsi="Arial" w:cs="Arial"/>
          <w:color w:val="000000"/>
          <w:sz w:val="20"/>
          <w:szCs w:val="20"/>
          <w:lang w:eastAsia="en-IN"/>
        </w:rPr>
        <w:br/>
        <w:t>Chief General Manager</w:t>
      </w:r>
    </w:p>
    <w:p w:rsidR="009214FA" w:rsidRDefault="009214FA" w:rsidP="009214FA">
      <w:pPr>
        <w:spacing w:before="100" w:beforeAutospacing="1" w:after="100" w:afterAutospacing="1" w:line="240" w:lineRule="auto"/>
        <w:rPr>
          <w:rFonts w:ascii="Arial" w:eastAsia="Times New Roman" w:hAnsi="Arial" w:cs="Arial"/>
          <w:color w:val="000000"/>
          <w:sz w:val="20"/>
          <w:szCs w:val="20"/>
          <w:lang w:eastAsia="en-IN"/>
        </w:rPr>
      </w:pPr>
      <w:r w:rsidRPr="009214FA">
        <w:rPr>
          <w:rFonts w:ascii="Arial" w:eastAsia="Times New Roman" w:hAnsi="Arial" w:cs="Arial"/>
          <w:color w:val="000000"/>
          <w:sz w:val="20"/>
          <w:szCs w:val="20"/>
          <w:lang w:eastAsia="en-IN"/>
        </w:rPr>
        <w:t>For more details, kindly refer:</w:t>
      </w:r>
    </w:p>
    <w:p w:rsidR="009214FA" w:rsidRDefault="009214FA" w:rsidP="009214FA">
      <w:pPr>
        <w:spacing w:before="100" w:beforeAutospacing="1" w:after="100" w:afterAutospacing="1" w:line="240" w:lineRule="auto"/>
        <w:rPr>
          <w:rFonts w:ascii="Arial" w:eastAsia="Times New Roman" w:hAnsi="Arial" w:cs="Arial"/>
          <w:color w:val="000000"/>
          <w:sz w:val="20"/>
          <w:szCs w:val="20"/>
          <w:lang w:eastAsia="en-IN"/>
        </w:rPr>
      </w:pPr>
      <w:hyperlink r:id="rId36" w:history="1">
        <w:r w:rsidRPr="00692C03">
          <w:rPr>
            <w:rStyle w:val="Hyperlink"/>
            <w:rFonts w:ascii="Arial" w:eastAsia="Times New Roman" w:hAnsi="Arial" w:cs="Arial"/>
            <w:sz w:val="20"/>
            <w:szCs w:val="20"/>
            <w:lang w:eastAsia="en-IN"/>
          </w:rPr>
          <w:t>https://www.rbi.org.in/Scripts/NotificationUser.aspx?Id=12650&amp;Mode=0</w:t>
        </w:r>
      </w:hyperlink>
      <w:r>
        <w:rPr>
          <w:rFonts w:ascii="Arial" w:eastAsia="Times New Roman" w:hAnsi="Arial" w:cs="Arial"/>
          <w:color w:val="000000"/>
          <w:sz w:val="20"/>
          <w:szCs w:val="20"/>
          <w:lang w:eastAsia="en-IN"/>
        </w:rPr>
        <w:t xml:space="preserve"> </w:t>
      </w: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310DD8" w:rsidRPr="00310DD8" w:rsidRDefault="00310DD8" w:rsidP="00310DD8">
      <w:pPr>
        <w:spacing w:before="100" w:beforeAutospacing="1" w:after="100" w:afterAutospacing="1" w:line="240" w:lineRule="auto"/>
        <w:jc w:val="both"/>
        <w:rPr>
          <w:rFonts w:ascii="Arial" w:eastAsia="Times New Roman" w:hAnsi="Arial" w:cs="Arial"/>
          <w:b/>
          <w:bCs/>
          <w:color w:val="000000"/>
          <w:sz w:val="20"/>
          <w:szCs w:val="20"/>
          <w:lang w:eastAsia="en-IN"/>
        </w:rPr>
      </w:pPr>
      <w:r w:rsidRPr="00310DD8">
        <w:rPr>
          <w:rFonts w:ascii="Arial" w:eastAsia="Times New Roman" w:hAnsi="Arial" w:cs="Arial"/>
          <w:b/>
          <w:bCs/>
          <w:color w:val="000000"/>
          <w:sz w:val="20"/>
          <w:szCs w:val="20"/>
          <w:lang w:eastAsia="en-IN"/>
        </w:rPr>
        <w:lastRenderedPageBreak/>
        <w:t>Master Circular on Conduct of Government Business by Agency Banks - Payment of Agency Commission</w:t>
      </w:r>
    </w:p>
    <w:p w:rsidR="00310DD8" w:rsidRPr="00310DD8" w:rsidRDefault="00310DD8" w:rsidP="00310DD8">
      <w:pPr>
        <w:spacing w:before="100" w:beforeAutospacing="1" w:after="100" w:afterAutospacing="1" w:line="240" w:lineRule="auto"/>
        <w:jc w:val="both"/>
        <w:rPr>
          <w:rFonts w:ascii="Arial" w:eastAsia="Times New Roman" w:hAnsi="Arial" w:cs="Arial"/>
          <w:color w:val="000000"/>
          <w:sz w:val="20"/>
          <w:szCs w:val="20"/>
          <w:lang w:eastAsia="en-IN"/>
        </w:rPr>
      </w:pPr>
      <w:r w:rsidRPr="00310DD8">
        <w:rPr>
          <w:rFonts w:ascii="Arial" w:eastAsia="Times New Roman" w:hAnsi="Arial" w:cs="Arial"/>
          <w:color w:val="000000"/>
          <w:sz w:val="20"/>
          <w:szCs w:val="20"/>
          <w:lang w:eastAsia="en-IN"/>
        </w:rPr>
        <w:t>RBI/2024-25/07</w:t>
      </w:r>
      <w:r w:rsidRPr="00310DD8">
        <w:rPr>
          <w:rFonts w:ascii="Arial" w:eastAsia="Times New Roman" w:hAnsi="Arial" w:cs="Arial"/>
          <w:color w:val="000000"/>
          <w:sz w:val="20"/>
          <w:szCs w:val="20"/>
          <w:lang w:eastAsia="en-IN"/>
        </w:rPr>
        <w:br/>
        <w:t>CO.DGBA.GBD.No.S2/31-12-010/2024-2025</w:t>
      </w:r>
    </w:p>
    <w:p w:rsidR="00310DD8" w:rsidRPr="00310DD8" w:rsidRDefault="00310DD8" w:rsidP="00310DD8">
      <w:pPr>
        <w:spacing w:before="100" w:beforeAutospacing="1" w:after="100" w:afterAutospacing="1" w:line="240" w:lineRule="auto"/>
        <w:jc w:val="right"/>
        <w:rPr>
          <w:rFonts w:ascii="Arial" w:eastAsia="Times New Roman" w:hAnsi="Arial" w:cs="Arial"/>
          <w:color w:val="000000"/>
          <w:sz w:val="20"/>
          <w:szCs w:val="20"/>
          <w:lang w:eastAsia="en-IN"/>
        </w:rPr>
      </w:pPr>
      <w:r w:rsidRPr="00310DD8">
        <w:rPr>
          <w:rFonts w:ascii="Arial" w:eastAsia="Times New Roman" w:hAnsi="Arial" w:cs="Arial"/>
          <w:color w:val="000000"/>
          <w:sz w:val="20"/>
          <w:szCs w:val="20"/>
          <w:lang w:eastAsia="en-IN"/>
        </w:rPr>
        <w:t>April 1, 2024</w:t>
      </w:r>
    </w:p>
    <w:p w:rsidR="00310DD8" w:rsidRPr="00310DD8" w:rsidRDefault="00310DD8" w:rsidP="00310DD8">
      <w:pPr>
        <w:spacing w:before="100" w:beforeAutospacing="1" w:after="100" w:afterAutospacing="1" w:line="240" w:lineRule="auto"/>
        <w:jc w:val="both"/>
        <w:rPr>
          <w:rFonts w:ascii="Arial" w:eastAsia="Times New Roman" w:hAnsi="Arial" w:cs="Arial"/>
          <w:color w:val="000000"/>
          <w:sz w:val="20"/>
          <w:szCs w:val="20"/>
          <w:lang w:eastAsia="en-IN"/>
        </w:rPr>
      </w:pPr>
      <w:r w:rsidRPr="00310DD8">
        <w:rPr>
          <w:rFonts w:ascii="Arial" w:eastAsia="Times New Roman" w:hAnsi="Arial" w:cs="Arial"/>
          <w:color w:val="000000"/>
          <w:sz w:val="20"/>
          <w:szCs w:val="20"/>
          <w:lang w:eastAsia="en-IN"/>
        </w:rPr>
        <w:t>All Agency Banks</w:t>
      </w:r>
    </w:p>
    <w:p w:rsidR="00310DD8" w:rsidRPr="00310DD8" w:rsidRDefault="00310DD8" w:rsidP="00310DD8">
      <w:pPr>
        <w:spacing w:before="100" w:beforeAutospacing="1" w:after="100" w:afterAutospacing="1" w:line="240" w:lineRule="auto"/>
        <w:jc w:val="both"/>
        <w:rPr>
          <w:rFonts w:ascii="Arial" w:eastAsia="Times New Roman" w:hAnsi="Arial" w:cs="Arial"/>
          <w:color w:val="000000"/>
          <w:sz w:val="20"/>
          <w:szCs w:val="20"/>
          <w:lang w:eastAsia="en-IN"/>
        </w:rPr>
      </w:pPr>
      <w:r w:rsidRPr="00310DD8">
        <w:rPr>
          <w:rFonts w:ascii="Arial" w:eastAsia="Times New Roman" w:hAnsi="Arial" w:cs="Arial"/>
          <w:color w:val="000000"/>
          <w:sz w:val="20"/>
          <w:szCs w:val="20"/>
          <w:lang w:eastAsia="en-IN"/>
        </w:rPr>
        <w:t>Madam / Dear Sir</w:t>
      </w:r>
    </w:p>
    <w:p w:rsidR="00310DD8" w:rsidRPr="00310DD8" w:rsidRDefault="00310DD8" w:rsidP="00310DD8">
      <w:pPr>
        <w:spacing w:before="100" w:beforeAutospacing="1" w:after="100" w:afterAutospacing="1" w:line="240" w:lineRule="auto"/>
        <w:jc w:val="both"/>
        <w:rPr>
          <w:rFonts w:ascii="Arial" w:eastAsia="Times New Roman" w:hAnsi="Arial" w:cs="Arial"/>
          <w:b/>
          <w:bCs/>
          <w:color w:val="000000"/>
          <w:sz w:val="20"/>
          <w:szCs w:val="20"/>
          <w:lang w:eastAsia="en-IN"/>
        </w:rPr>
      </w:pPr>
      <w:r w:rsidRPr="00310DD8">
        <w:rPr>
          <w:rFonts w:ascii="Arial" w:eastAsia="Times New Roman" w:hAnsi="Arial" w:cs="Arial"/>
          <w:b/>
          <w:bCs/>
          <w:color w:val="000000"/>
          <w:sz w:val="20"/>
          <w:szCs w:val="20"/>
          <w:lang w:eastAsia="en-IN"/>
        </w:rPr>
        <w:t>Master Circular on Conduct of Government Business by Agency Banks - Payment of Agency Commission</w:t>
      </w:r>
    </w:p>
    <w:p w:rsidR="00310DD8" w:rsidRPr="00310DD8" w:rsidRDefault="00310DD8" w:rsidP="00310DD8">
      <w:pPr>
        <w:spacing w:before="100" w:beforeAutospacing="1" w:after="100" w:afterAutospacing="1" w:line="240" w:lineRule="auto"/>
        <w:jc w:val="both"/>
        <w:rPr>
          <w:rFonts w:ascii="Arial" w:eastAsia="Times New Roman" w:hAnsi="Arial" w:cs="Arial"/>
          <w:color w:val="000000"/>
          <w:sz w:val="20"/>
          <w:szCs w:val="20"/>
          <w:lang w:eastAsia="en-IN"/>
        </w:rPr>
      </w:pPr>
      <w:r w:rsidRPr="00310DD8">
        <w:rPr>
          <w:rFonts w:ascii="Arial" w:eastAsia="Times New Roman" w:hAnsi="Arial" w:cs="Arial"/>
          <w:color w:val="000000"/>
          <w:sz w:val="20"/>
          <w:szCs w:val="20"/>
          <w:lang w:eastAsia="en-IN"/>
        </w:rPr>
        <w:t>Please refer to our </w:t>
      </w:r>
      <w:hyperlink r:id="rId37" w:tgtFrame="_blank" w:history="1">
        <w:r w:rsidRPr="00310DD8">
          <w:rPr>
            <w:rFonts w:ascii="Arial" w:eastAsia="Times New Roman" w:hAnsi="Arial" w:cs="Arial"/>
            <w:color w:val="0000FF"/>
            <w:sz w:val="20"/>
            <w:szCs w:val="20"/>
            <w:u w:val="single"/>
            <w:lang w:eastAsia="en-IN"/>
          </w:rPr>
          <w:t>Master Circular RBI/2023-24/07, CO.DGBA.GBD.No.S1/31-12-010/2023-2024 dated April 1, 2023</w:t>
        </w:r>
      </w:hyperlink>
      <w:r w:rsidRPr="00310DD8">
        <w:rPr>
          <w:rFonts w:ascii="Arial" w:eastAsia="Times New Roman" w:hAnsi="Arial" w:cs="Arial"/>
          <w:color w:val="000000"/>
          <w:sz w:val="20"/>
          <w:szCs w:val="20"/>
          <w:lang w:eastAsia="en-IN"/>
        </w:rPr>
        <w:t xml:space="preserve"> on the above subject. We have now revised and updated the Master </w:t>
      </w:r>
      <w:proofErr w:type="gramStart"/>
      <w:r w:rsidRPr="00310DD8">
        <w:rPr>
          <w:rFonts w:ascii="Arial" w:eastAsia="Times New Roman" w:hAnsi="Arial" w:cs="Arial"/>
          <w:color w:val="000000"/>
          <w:sz w:val="20"/>
          <w:szCs w:val="20"/>
          <w:lang w:eastAsia="en-IN"/>
        </w:rPr>
        <w:t>Circular which</w:t>
      </w:r>
      <w:proofErr w:type="gramEnd"/>
      <w:r w:rsidRPr="00310DD8">
        <w:rPr>
          <w:rFonts w:ascii="Arial" w:eastAsia="Times New Roman" w:hAnsi="Arial" w:cs="Arial"/>
          <w:color w:val="000000"/>
          <w:sz w:val="20"/>
          <w:szCs w:val="20"/>
          <w:lang w:eastAsia="en-IN"/>
        </w:rPr>
        <w:t xml:space="preserve"> consolidates important instructions on the subject issued by the Reserve Bank of India till March 31, 2024.</w:t>
      </w:r>
    </w:p>
    <w:p w:rsidR="00310DD8" w:rsidRPr="00310DD8" w:rsidRDefault="00310DD8" w:rsidP="00310DD8">
      <w:pPr>
        <w:spacing w:before="100" w:beforeAutospacing="1" w:after="100" w:afterAutospacing="1" w:line="240" w:lineRule="auto"/>
        <w:jc w:val="both"/>
        <w:rPr>
          <w:rFonts w:ascii="Arial" w:eastAsia="Times New Roman" w:hAnsi="Arial" w:cs="Arial"/>
          <w:color w:val="000000"/>
          <w:sz w:val="20"/>
          <w:szCs w:val="20"/>
          <w:lang w:eastAsia="en-IN"/>
        </w:rPr>
      </w:pPr>
      <w:r w:rsidRPr="00310DD8">
        <w:rPr>
          <w:rFonts w:ascii="Arial" w:eastAsia="Times New Roman" w:hAnsi="Arial" w:cs="Arial"/>
          <w:color w:val="000000"/>
          <w:sz w:val="20"/>
          <w:szCs w:val="20"/>
          <w:lang w:eastAsia="en-IN"/>
        </w:rPr>
        <w:t>2. A copy of the revised </w:t>
      </w:r>
      <w:hyperlink r:id="rId38" w:anchor="MC" w:history="1">
        <w:r w:rsidRPr="00310DD8">
          <w:rPr>
            <w:rFonts w:ascii="Arial" w:eastAsia="Times New Roman" w:hAnsi="Arial" w:cs="Arial"/>
            <w:color w:val="0000FF"/>
            <w:sz w:val="20"/>
            <w:szCs w:val="20"/>
            <w:u w:val="single"/>
            <w:lang w:eastAsia="en-IN"/>
          </w:rPr>
          <w:t>Master Circular</w:t>
        </w:r>
      </w:hyperlink>
      <w:r w:rsidRPr="00310DD8">
        <w:rPr>
          <w:rFonts w:ascii="Arial" w:eastAsia="Times New Roman" w:hAnsi="Arial" w:cs="Arial"/>
          <w:color w:val="000000"/>
          <w:sz w:val="20"/>
          <w:szCs w:val="20"/>
          <w:lang w:eastAsia="en-IN"/>
        </w:rPr>
        <w:t> </w:t>
      </w:r>
      <w:proofErr w:type="gramStart"/>
      <w:r w:rsidRPr="00310DD8">
        <w:rPr>
          <w:rFonts w:ascii="Arial" w:eastAsia="Times New Roman" w:hAnsi="Arial" w:cs="Arial"/>
          <w:color w:val="000000"/>
          <w:sz w:val="20"/>
          <w:szCs w:val="20"/>
          <w:lang w:eastAsia="en-IN"/>
        </w:rPr>
        <w:t>is enclosed</w:t>
      </w:r>
      <w:proofErr w:type="gramEnd"/>
      <w:r w:rsidRPr="00310DD8">
        <w:rPr>
          <w:rFonts w:ascii="Arial" w:eastAsia="Times New Roman" w:hAnsi="Arial" w:cs="Arial"/>
          <w:color w:val="000000"/>
          <w:sz w:val="20"/>
          <w:szCs w:val="20"/>
          <w:lang w:eastAsia="en-IN"/>
        </w:rPr>
        <w:t xml:space="preserve"> for your information. This Circular </w:t>
      </w:r>
      <w:proofErr w:type="gramStart"/>
      <w:r w:rsidRPr="00310DD8">
        <w:rPr>
          <w:rFonts w:ascii="Arial" w:eastAsia="Times New Roman" w:hAnsi="Arial" w:cs="Arial"/>
          <w:color w:val="000000"/>
          <w:sz w:val="20"/>
          <w:szCs w:val="20"/>
          <w:lang w:eastAsia="en-IN"/>
        </w:rPr>
        <w:t>may also be downloaded</w:t>
      </w:r>
      <w:proofErr w:type="gramEnd"/>
      <w:r w:rsidRPr="00310DD8">
        <w:rPr>
          <w:rFonts w:ascii="Arial" w:eastAsia="Times New Roman" w:hAnsi="Arial" w:cs="Arial"/>
          <w:color w:val="000000"/>
          <w:sz w:val="20"/>
          <w:szCs w:val="20"/>
          <w:lang w:eastAsia="en-IN"/>
        </w:rPr>
        <w:t xml:space="preserve"> from our website </w:t>
      </w:r>
      <w:hyperlink r:id="rId39" w:tgtFrame="_blank" w:history="1">
        <w:r w:rsidRPr="00310DD8">
          <w:rPr>
            <w:rFonts w:ascii="Arial" w:eastAsia="Times New Roman" w:hAnsi="Arial" w:cs="Arial"/>
            <w:color w:val="0000FF"/>
            <w:sz w:val="20"/>
            <w:szCs w:val="20"/>
            <w:u w:val="single"/>
            <w:lang w:eastAsia="en-IN"/>
          </w:rPr>
          <w:t>https://mastercirculars.rbi.org.in</w:t>
        </w:r>
      </w:hyperlink>
      <w:r w:rsidRPr="00310DD8">
        <w:rPr>
          <w:rFonts w:ascii="Arial" w:eastAsia="Times New Roman" w:hAnsi="Arial" w:cs="Arial"/>
          <w:color w:val="000000"/>
          <w:sz w:val="20"/>
          <w:szCs w:val="20"/>
          <w:lang w:eastAsia="en-IN"/>
        </w:rPr>
        <w:t>.</w:t>
      </w:r>
    </w:p>
    <w:p w:rsidR="00310DD8" w:rsidRPr="00310DD8" w:rsidRDefault="00310DD8" w:rsidP="00310DD8">
      <w:pPr>
        <w:spacing w:before="100" w:beforeAutospacing="1" w:after="100" w:afterAutospacing="1" w:line="240" w:lineRule="auto"/>
        <w:jc w:val="both"/>
        <w:rPr>
          <w:rFonts w:ascii="Arial" w:eastAsia="Times New Roman" w:hAnsi="Arial" w:cs="Arial"/>
          <w:color w:val="000000"/>
          <w:sz w:val="20"/>
          <w:szCs w:val="20"/>
          <w:lang w:eastAsia="en-IN"/>
        </w:rPr>
      </w:pPr>
      <w:r w:rsidRPr="00310DD8">
        <w:rPr>
          <w:rFonts w:ascii="Arial" w:eastAsia="Times New Roman" w:hAnsi="Arial" w:cs="Arial"/>
          <w:color w:val="000000"/>
          <w:sz w:val="20"/>
          <w:szCs w:val="20"/>
          <w:lang w:eastAsia="en-IN"/>
        </w:rPr>
        <w:t>Yours faithfully</w:t>
      </w:r>
    </w:p>
    <w:p w:rsidR="00310DD8" w:rsidRDefault="00310DD8" w:rsidP="00310DD8">
      <w:pPr>
        <w:spacing w:before="100" w:beforeAutospacing="1" w:after="100" w:afterAutospacing="1" w:line="240" w:lineRule="auto"/>
        <w:rPr>
          <w:rFonts w:ascii="Arial" w:eastAsia="Times New Roman" w:hAnsi="Arial" w:cs="Arial"/>
          <w:color w:val="000000"/>
          <w:sz w:val="20"/>
          <w:szCs w:val="20"/>
          <w:lang w:eastAsia="en-IN"/>
        </w:rPr>
      </w:pPr>
      <w:r w:rsidRPr="00310DD8">
        <w:rPr>
          <w:rFonts w:ascii="Arial" w:eastAsia="Times New Roman" w:hAnsi="Arial" w:cs="Arial"/>
          <w:color w:val="000000"/>
          <w:sz w:val="20"/>
          <w:szCs w:val="20"/>
          <w:lang w:eastAsia="en-IN"/>
        </w:rPr>
        <w:t>(</w:t>
      </w:r>
      <w:proofErr w:type="spellStart"/>
      <w:r w:rsidRPr="00310DD8">
        <w:rPr>
          <w:rFonts w:ascii="Arial" w:eastAsia="Times New Roman" w:hAnsi="Arial" w:cs="Arial"/>
          <w:color w:val="000000"/>
          <w:sz w:val="20"/>
          <w:szCs w:val="20"/>
          <w:lang w:eastAsia="en-IN"/>
        </w:rPr>
        <w:t>Indranil</w:t>
      </w:r>
      <w:proofErr w:type="spellEnd"/>
      <w:r w:rsidRPr="00310DD8">
        <w:rPr>
          <w:rFonts w:ascii="Arial" w:eastAsia="Times New Roman" w:hAnsi="Arial" w:cs="Arial"/>
          <w:color w:val="000000"/>
          <w:sz w:val="20"/>
          <w:szCs w:val="20"/>
          <w:lang w:eastAsia="en-IN"/>
        </w:rPr>
        <w:t xml:space="preserve"> Chakraborty)</w:t>
      </w:r>
      <w:r w:rsidRPr="00310DD8">
        <w:rPr>
          <w:rFonts w:ascii="Arial" w:eastAsia="Times New Roman" w:hAnsi="Arial" w:cs="Arial"/>
          <w:color w:val="000000"/>
          <w:sz w:val="20"/>
          <w:szCs w:val="20"/>
          <w:lang w:eastAsia="en-IN"/>
        </w:rPr>
        <w:br/>
        <w:t>Chief General Manager</w:t>
      </w:r>
    </w:p>
    <w:p w:rsidR="00310DD8" w:rsidRDefault="00310DD8" w:rsidP="00310DD8">
      <w:pPr>
        <w:spacing w:before="100" w:beforeAutospacing="1" w:after="100" w:afterAutospacing="1" w:line="240" w:lineRule="auto"/>
        <w:rPr>
          <w:rFonts w:ascii="Arial" w:eastAsia="Times New Roman" w:hAnsi="Arial" w:cs="Arial"/>
          <w:color w:val="000000"/>
          <w:sz w:val="20"/>
          <w:szCs w:val="20"/>
          <w:lang w:eastAsia="en-IN"/>
        </w:rPr>
      </w:pPr>
      <w:r w:rsidRPr="00310DD8">
        <w:rPr>
          <w:rFonts w:ascii="Arial" w:eastAsia="Times New Roman" w:hAnsi="Arial" w:cs="Arial"/>
          <w:color w:val="000000"/>
          <w:sz w:val="20"/>
          <w:szCs w:val="20"/>
          <w:lang w:eastAsia="en-IN"/>
        </w:rPr>
        <w:t>For more details, kindly refer:</w:t>
      </w:r>
    </w:p>
    <w:p w:rsidR="00310DD8" w:rsidRDefault="00310DD8" w:rsidP="00310DD8">
      <w:pPr>
        <w:spacing w:before="100" w:beforeAutospacing="1" w:after="100" w:afterAutospacing="1" w:line="240" w:lineRule="auto"/>
        <w:rPr>
          <w:rFonts w:ascii="Arial" w:eastAsia="Times New Roman" w:hAnsi="Arial" w:cs="Arial"/>
          <w:color w:val="000000"/>
          <w:sz w:val="20"/>
          <w:szCs w:val="20"/>
          <w:lang w:eastAsia="en-IN"/>
        </w:rPr>
      </w:pPr>
      <w:hyperlink r:id="rId40" w:history="1">
        <w:r w:rsidRPr="00692C03">
          <w:rPr>
            <w:rStyle w:val="Hyperlink"/>
            <w:rFonts w:ascii="Arial" w:eastAsia="Times New Roman" w:hAnsi="Arial" w:cs="Arial"/>
            <w:sz w:val="20"/>
            <w:szCs w:val="20"/>
            <w:lang w:eastAsia="en-IN"/>
          </w:rPr>
          <w:t>https://www.rbi.org.in/Scripts/NotificationUser.aspx?Id=12651&amp;Mode=0</w:t>
        </w:r>
      </w:hyperlink>
      <w:r>
        <w:rPr>
          <w:rFonts w:ascii="Arial" w:eastAsia="Times New Roman" w:hAnsi="Arial" w:cs="Arial"/>
          <w:color w:val="000000"/>
          <w:sz w:val="20"/>
          <w:szCs w:val="20"/>
          <w:lang w:eastAsia="en-IN"/>
        </w:rPr>
        <w:t xml:space="preserve"> </w:t>
      </w: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7152D1" w:rsidRPr="007152D1" w:rsidRDefault="007152D1" w:rsidP="007152D1">
      <w:pPr>
        <w:spacing w:before="100" w:beforeAutospacing="1" w:after="100" w:afterAutospacing="1" w:line="240" w:lineRule="auto"/>
        <w:jc w:val="both"/>
        <w:rPr>
          <w:rFonts w:ascii="Arial" w:eastAsia="Times New Roman" w:hAnsi="Arial" w:cs="Arial"/>
          <w:b/>
          <w:bCs/>
          <w:color w:val="000000"/>
          <w:sz w:val="20"/>
          <w:szCs w:val="20"/>
          <w:lang w:eastAsia="en-IN"/>
        </w:rPr>
      </w:pPr>
      <w:r w:rsidRPr="007152D1">
        <w:rPr>
          <w:rFonts w:ascii="Arial" w:eastAsia="Times New Roman" w:hAnsi="Arial" w:cs="Arial"/>
          <w:b/>
          <w:bCs/>
          <w:color w:val="000000"/>
          <w:sz w:val="20"/>
          <w:szCs w:val="20"/>
          <w:lang w:eastAsia="en-IN"/>
        </w:rPr>
        <w:lastRenderedPageBreak/>
        <w:t>Master Direction on Counterfeit Notes, 2024 – Detection, Reporting and Monitoring</w:t>
      </w:r>
    </w:p>
    <w:p w:rsidR="007152D1" w:rsidRPr="007152D1" w:rsidRDefault="007152D1" w:rsidP="007152D1">
      <w:pPr>
        <w:spacing w:before="100" w:beforeAutospacing="1" w:after="100" w:afterAutospacing="1" w:line="240" w:lineRule="auto"/>
        <w:jc w:val="both"/>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RBI/DCM/2024-25/115</w:t>
      </w:r>
      <w:r w:rsidRPr="007152D1">
        <w:rPr>
          <w:rFonts w:ascii="Arial" w:eastAsia="Times New Roman" w:hAnsi="Arial" w:cs="Arial"/>
          <w:color w:val="000000"/>
          <w:sz w:val="20"/>
          <w:szCs w:val="20"/>
          <w:lang w:eastAsia="en-IN"/>
        </w:rPr>
        <w:br/>
        <w:t>DCM (FNVD)/G4/16.01.05/2024-25</w:t>
      </w:r>
    </w:p>
    <w:p w:rsidR="007152D1" w:rsidRPr="007152D1" w:rsidRDefault="007152D1" w:rsidP="007152D1">
      <w:pPr>
        <w:spacing w:before="100" w:beforeAutospacing="1" w:after="100" w:afterAutospacing="1" w:line="240" w:lineRule="auto"/>
        <w:jc w:val="right"/>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April 01, 2024</w:t>
      </w:r>
    </w:p>
    <w:p w:rsidR="007152D1" w:rsidRPr="007152D1" w:rsidRDefault="007152D1" w:rsidP="007152D1">
      <w:pPr>
        <w:spacing w:before="100" w:beforeAutospacing="1" w:after="100" w:afterAutospacing="1" w:line="240" w:lineRule="auto"/>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The Chairman / Managing Director / Chief Executive Officer</w:t>
      </w:r>
      <w:r w:rsidRPr="007152D1">
        <w:rPr>
          <w:rFonts w:ascii="Arial" w:eastAsia="Times New Roman" w:hAnsi="Arial" w:cs="Arial"/>
          <w:color w:val="000000"/>
          <w:sz w:val="20"/>
          <w:szCs w:val="20"/>
          <w:lang w:eastAsia="en-IN"/>
        </w:rPr>
        <w:br/>
        <w:t>All Banks</w:t>
      </w:r>
    </w:p>
    <w:p w:rsidR="007152D1" w:rsidRPr="007152D1" w:rsidRDefault="007152D1" w:rsidP="007152D1">
      <w:pPr>
        <w:spacing w:before="100" w:beforeAutospacing="1" w:after="100" w:afterAutospacing="1" w:line="240" w:lineRule="auto"/>
        <w:jc w:val="both"/>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Madam / Dear Sir,</w:t>
      </w:r>
    </w:p>
    <w:p w:rsidR="007152D1" w:rsidRPr="007152D1" w:rsidRDefault="007152D1" w:rsidP="007152D1">
      <w:pPr>
        <w:spacing w:before="100" w:beforeAutospacing="1" w:after="100" w:afterAutospacing="1" w:line="240" w:lineRule="auto"/>
        <w:jc w:val="both"/>
        <w:rPr>
          <w:rFonts w:ascii="Arial" w:eastAsia="Times New Roman" w:hAnsi="Arial" w:cs="Arial"/>
          <w:b/>
          <w:bCs/>
          <w:color w:val="000000"/>
          <w:sz w:val="20"/>
          <w:szCs w:val="20"/>
          <w:lang w:eastAsia="en-IN"/>
        </w:rPr>
      </w:pPr>
      <w:r w:rsidRPr="007152D1">
        <w:rPr>
          <w:rFonts w:ascii="Arial" w:eastAsia="Times New Roman" w:hAnsi="Arial" w:cs="Arial"/>
          <w:b/>
          <w:bCs/>
          <w:color w:val="000000"/>
          <w:sz w:val="20"/>
          <w:szCs w:val="20"/>
          <w:lang w:eastAsia="en-IN"/>
        </w:rPr>
        <w:t>Master Direction on Counterfeit Notes, 2024 – Detection, Reporting and Monitoring</w:t>
      </w:r>
    </w:p>
    <w:p w:rsidR="007152D1" w:rsidRPr="007152D1" w:rsidRDefault="007152D1" w:rsidP="007152D1">
      <w:pPr>
        <w:spacing w:before="100" w:beforeAutospacing="1" w:after="100" w:afterAutospacing="1" w:line="240" w:lineRule="auto"/>
        <w:jc w:val="both"/>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 xml:space="preserve">The Reserve Bank of India (RBI) </w:t>
      </w:r>
      <w:proofErr w:type="gramStart"/>
      <w:r w:rsidRPr="007152D1">
        <w:rPr>
          <w:rFonts w:ascii="Arial" w:eastAsia="Times New Roman" w:hAnsi="Arial" w:cs="Arial"/>
          <w:color w:val="000000"/>
          <w:sz w:val="20"/>
          <w:szCs w:val="20"/>
          <w:lang w:eastAsia="en-IN"/>
        </w:rPr>
        <w:t>has, from time to time, issued</w:t>
      </w:r>
      <w:proofErr w:type="gramEnd"/>
      <w:r w:rsidRPr="007152D1">
        <w:rPr>
          <w:rFonts w:ascii="Arial" w:eastAsia="Times New Roman" w:hAnsi="Arial" w:cs="Arial"/>
          <w:color w:val="000000"/>
          <w:sz w:val="20"/>
          <w:szCs w:val="20"/>
          <w:lang w:eastAsia="en-IN"/>
        </w:rPr>
        <w:t xml:space="preserve"> several guidelines / instructions / directives to the banks on Counterfeit Notes.</w:t>
      </w:r>
    </w:p>
    <w:p w:rsidR="007152D1" w:rsidRPr="007152D1" w:rsidRDefault="007152D1" w:rsidP="007152D1">
      <w:pPr>
        <w:spacing w:before="100" w:beforeAutospacing="1" w:after="100" w:afterAutospacing="1" w:line="240" w:lineRule="auto"/>
        <w:jc w:val="both"/>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2. A Master Direction incorporating and updating the extant guidelines / instructions / directives on the subject has been prepared to enable banks to have all current instructions on Counterfeit Notes at one place for reference.</w:t>
      </w:r>
    </w:p>
    <w:p w:rsidR="007152D1" w:rsidRPr="007152D1" w:rsidRDefault="007152D1" w:rsidP="007152D1">
      <w:pPr>
        <w:spacing w:before="100" w:beforeAutospacing="1" w:after="100" w:afterAutospacing="1" w:line="240" w:lineRule="auto"/>
        <w:jc w:val="both"/>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3. This </w:t>
      </w:r>
      <w:hyperlink r:id="rId41" w:anchor="MD" w:history="1">
        <w:r w:rsidRPr="007152D1">
          <w:rPr>
            <w:rFonts w:ascii="Arial" w:eastAsia="Times New Roman" w:hAnsi="Arial" w:cs="Arial"/>
            <w:color w:val="0000FF"/>
            <w:sz w:val="20"/>
            <w:szCs w:val="20"/>
            <w:u w:val="single"/>
            <w:lang w:eastAsia="en-IN"/>
          </w:rPr>
          <w:t>Direction</w:t>
        </w:r>
      </w:hyperlink>
      <w:r w:rsidRPr="007152D1">
        <w:rPr>
          <w:rFonts w:ascii="Arial" w:eastAsia="Times New Roman" w:hAnsi="Arial" w:cs="Arial"/>
          <w:color w:val="000000"/>
          <w:sz w:val="20"/>
          <w:szCs w:val="20"/>
          <w:lang w:eastAsia="en-IN"/>
        </w:rPr>
        <w:t> </w:t>
      </w:r>
      <w:proofErr w:type="gramStart"/>
      <w:r w:rsidRPr="007152D1">
        <w:rPr>
          <w:rFonts w:ascii="Arial" w:eastAsia="Times New Roman" w:hAnsi="Arial" w:cs="Arial"/>
          <w:color w:val="000000"/>
          <w:sz w:val="20"/>
          <w:szCs w:val="20"/>
          <w:lang w:eastAsia="en-IN"/>
        </w:rPr>
        <w:t>has been issued</w:t>
      </w:r>
      <w:proofErr w:type="gramEnd"/>
      <w:r w:rsidRPr="007152D1">
        <w:rPr>
          <w:rFonts w:ascii="Arial" w:eastAsia="Times New Roman" w:hAnsi="Arial" w:cs="Arial"/>
          <w:color w:val="000000"/>
          <w:sz w:val="20"/>
          <w:szCs w:val="20"/>
          <w:lang w:eastAsia="en-IN"/>
        </w:rPr>
        <w:t xml:space="preserve"> in exercise of powers conferred upon RBI under Section 35A and Section 56 of the Banking Regulation Act, 1949.</w:t>
      </w:r>
    </w:p>
    <w:p w:rsidR="007152D1" w:rsidRPr="007152D1" w:rsidRDefault="007152D1" w:rsidP="007152D1">
      <w:pPr>
        <w:spacing w:before="100" w:beforeAutospacing="1" w:after="100" w:afterAutospacing="1" w:line="240" w:lineRule="auto"/>
        <w:jc w:val="both"/>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Yours faithfully,</w:t>
      </w:r>
    </w:p>
    <w:p w:rsidR="007152D1" w:rsidRDefault="007152D1" w:rsidP="007152D1">
      <w:pPr>
        <w:spacing w:before="100" w:beforeAutospacing="1" w:after="100" w:afterAutospacing="1" w:line="240" w:lineRule="auto"/>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(Sanjeev Prakash)</w:t>
      </w:r>
      <w:r w:rsidRPr="007152D1">
        <w:rPr>
          <w:rFonts w:ascii="Arial" w:eastAsia="Times New Roman" w:hAnsi="Arial" w:cs="Arial"/>
          <w:color w:val="000000"/>
          <w:sz w:val="20"/>
          <w:szCs w:val="20"/>
          <w:lang w:eastAsia="en-IN"/>
        </w:rPr>
        <w:br/>
        <w:t>Chief General Manager</w:t>
      </w:r>
    </w:p>
    <w:p w:rsidR="007152D1" w:rsidRDefault="007152D1" w:rsidP="007152D1">
      <w:pPr>
        <w:spacing w:before="100" w:beforeAutospacing="1" w:after="100" w:afterAutospacing="1" w:line="240" w:lineRule="auto"/>
        <w:rPr>
          <w:rFonts w:ascii="Arial" w:eastAsia="Times New Roman" w:hAnsi="Arial" w:cs="Arial"/>
          <w:color w:val="000000"/>
          <w:sz w:val="20"/>
          <w:szCs w:val="20"/>
          <w:lang w:eastAsia="en-IN"/>
        </w:rPr>
      </w:pPr>
      <w:r w:rsidRPr="007152D1">
        <w:rPr>
          <w:rFonts w:ascii="Arial" w:eastAsia="Times New Roman" w:hAnsi="Arial" w:cs="Arial"/>
          <w:color w:val="000000"/>
          <w:sz w:val="20"/>
          <w:szCs w:val="20"/>
          <w:lang w:eastAsia="en-IN"/>
        </w:rPr>
        <w:t>For more details, kindly refer:</w:t>
      </w:r>
    </w:p>
    <w:p w:rsidR="007152D1" w:rsidRDefault="007152D1" w:rsidP="007152D1">
      <w:pPr>
        <w:spacing w:before="100" w:beforeAutospacing="1" w:after="100" w:afterAutospacing="1" w:line="240" w:lineRule="auto"/>
        <w:rPr>
          <w:rFonts w:ascii="Arial" w:eastAsia="Times New Roman" w:hAnsi="Arial" w:cs="Arial"/>
          <w:color w:val="000000"/>
          <w:sz w:val="20"/>
          <w:szCs w:val="20"/>
          <w:lang w:eastAsia="en-IN"/>
        </w:rPr>
      </w:pPr>
      <w:hyperlink r:id="rId42" w:history="1">
        <w:r w:rsidRPr="00692C03">
          <w:rPr>
            <w:rStyle w:val="Hyperlink"/>
            <w:rFonts w:ascii="Arial" w:eastAsia="Times New Roman" w:hAnsi="Arial" w:cs="Arial"/>
            <w:sz w:val="20"/>
            <w:szCs w:val="20"/>
            <w:lang w:eastAsia="en-IN"/>
          </w:rPr>
          <w:t>https://www.rbi.org.in/Scripts/NotificationUser.aspx?Id=12653&amp;Mode=0</w:t>
        </w:r>
      </w:hyperlink>
      <w:r>
        <w:rPr>
          <w:rFonts w:ascii="Arial" w:eastAsia="Times New Roman" w:hAnsi="Arial" w:cs="Arial"/>
          <w:color w:val="000000"/>
          <w:sz w:val="20"/>
          <w:szCs w:val="20"/>
          <w:lang w:eastAsia="en-IN"/>
        </w:rPr>
        <w:t xml:space="preserve"> </w:t>
      </w: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90662A"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D670DE" w:rsidRPr="00D670DE" w:rsidRDefault="00D670DE" w:rsidP="0090662A">
      <w:pPr>
        <w:spacing w:before="100" w:beforeAutospacing="1" w:after="100" w:afterAutospacing="1" w:line="240" w:lineRule="auto"/>
        <w:jc w:val="both"/>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lastRenderedPageBreak/>
        <w:t>Key Facts Statement (KFS) for Loans &amp; Advances</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RBI/2024-25/18</w:t>
      </w:r>
      <w:r w:rsidRPr="0090662A">
        <w:rPr>
          <w:rFonts w:ascii="Arial" w:eastAsia="Times New Roman" w:hAnsi="Arial" w:cs="Arial"/>
          <w:color w:val="000000"/>
          <w:sz w:val="20"/>
          <w:szCs w:val="20"/>
          <w:lang w:eastAsia="en-IN"/>
        </w:rPr>
        <w:br/>
        <w:t>DOR.STR.REC.13/13.03.00/2024-25</w:t>
      </w:r>
    </w:p>
    <w:p w:rsidR="0090662A" w:rsidRPr="0090662A" w:rsidRDefault="0090662A" w:rsidP="0090662A">
      <w:pPr>
        <w:spacing w:before="100" w:beforeAutospacing="1" w:after="100" w:afterAutospacing="1" w:line="240" w:lineRule="auto"/>
        <w:jc w:val="right"/>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April 15, 2024</w:t>
      </w:r>
    </w:p>
    <w:p w:rsidR="0090662A" w:rsidRPr="0090662A" w:rsidRDefault="0090662A" w:rsidP="00D670DE">
      <w:pPr>
        <w:spacing w:before="100" w:beforeAutospacing="1" w:after="100" w:afterAutospacing="1" w:line="240" w:lineRule="auto"/>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All Commercial Banks (including Small Finance Banks, Local Area Banks and Regional Rural Banks, excluding Payments Banks)</w:t>
      </w:r>
      <w:r w:rsidRPr="0090662A">
        <w:rPr>
          <w:rFonts w:ascii="Arial" w:eastAsia="Times New Roman" w:hAnsi="Arial" w:cs="Arial"/>
          <w:color w:val="000000"/>
          <w:sz w:val="20"/>
          <w:szCs w:val="20"/>
          <w:lang w:eastAsia="en-IN"/>
        </w:rPr>
        <w:br/>
        <w:t>All Primary (Urban) Co-operative Banks, State Co-operative Banks and Central Co-operative Banks</w:t>
      </w:r>
      <w:r w:rsidRPr="0090662A">
        <w:rPr>
          <w:rFonts w:ascii="Arial" w:eastAsia="Times New Roman" w:hAnsi="Arial" w:cs="Arial"/>
          <w:color w:val="000000"/>
          <w:sz w:val="20"/>
          <w:szCs w:val="20"/>
          <w:lang w:eastAsia="en-IN"/>
        </w:rPr>
        <w:br/>
        <w:t>All Non-Banking Financial Companies (including Housing Finance Companies)</w:t>
      </w:r>
    </w:p>
    <w:p w:rsidR="0090662A" w:rsidRPr="0090662A" w:rsidRDefault="0090662A" w:rsidP="0090662A">
      <w:pPr>
        <w:spacing w:before="100" w:beforeAutospacing="1" w:after="100" w:afterAutospacing="1" w:line="240" w:lineRule="auto"/>
        <w:jc w:val="both"/>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t>Key Facts Statement (KFS) for Loans &amp; Advances</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90662A">
        <w:rPr>
          <w:rFonts w:ascii="Arial" w:eastAsia="Times New Roman" w:hAnsi="Arial" w:cs="Arial"/>
          <w:color w:val="000000"/>
          <w:sz w:val="20"/>
          <w:szCs w:val="20"/>
          <w:lang w:eastAsia="en-IN"/>
        </w:rPr>
        <w:t>Please refer to our instructions on Key Facts Statement (KFS) and disclosure of Annual Percentage Rate (APR) as contained in paragraph 2 of </w:t>
      </w:r>
      <w:hyperlink r:id="rId43" w:tgtFrame="_blank" w:history="1">
        <w:r w:rsidRPr="0090662A">
          <w:rPr>
            <w:rFonts w:ascii="Arial" w:eastAsia="Times New Roman" w:hAnsi="Arial" w:cs="Arial"/>
            <w:color w:val="0000FF"/>
            <w:sz w:val="20"/>
            <w:szCs w:val="20"/>
            <w:u w:val="single"/>
            <w:lang w:eastAsia="en-IN"/>
          </w:rPr>
          <w:t>Circular on ‘Display of information by banks’ dated January 22, 2015</w:t>
        </w:r>
      </w:hyperlink>
      <w:r w:rsidRPr="0090662A">
        <w:rPr>
          <w:rFonts w:ascii="Arial" w:eastAsia="Times New Roman" w:hAnsi="Arial" w:cs="Arial"/>
          <w:color w:val="000000"/>
          <w:sz w:val="20"/>
          <w:szCs w:val="20"/>
          <w:lang w:eastAsia="en-IN"/>
        </w:rPr>
        <w:t>; paragraph 6 of </w:t>
      </w:r>
      <w:hyperlink r:id="rId44" w:tgtFrame="_blank" w:history="1">
        <w:r w:rsidRPr="0090662A">
          <w:rPr>
            <w:rFonts w:ascii="Arial" w:eastAsia="Times New Roman" w:hAnsi="Arial" w:cs="Arial"/>
            <w:color w:val="0000FF"/>
            <w:sz w:val="20"/>
            <w:szCs w:val="20"/>
            <w:u w:val="single"/>
            <w:lang w:eastAsia="en-IN"/>
          </w:rPr>
          <w:t>Master Direction on ‘Regulatory Framework for Microfinance Loans’ dated March 14, 2022</w:t>
        </w:r>
      </w:hyperlink>
      <w:r w:rsidRPr="0090662A">
        <w:rPr>
          <w:rFonts w:ascii="Arial" w:eastAsia="Times New Roman" w:hAnsi="Arial" w:cs="Arial"/>
          <w:color w:val="000000"/>
          <w:sz w:val="20"/>
          <w:szCs w:val="20"/>
          <w:lang w:eastAsia="en-IN"/>
        </w:rPr>
        <w:t>; and paragraph 5 of ‘</w:t>
      </w:r>
      <w:hyperlink r:id="rId45" w:tgtFrame="_blank" w:history="1">
        <w:r w:rsidRPr="0090662A">
          <w:rPr>
            <w:rFonts w:ascii="Arial" w:eastAsia="Times New Roman" w:hAnsi="Arial" w:cs="Arial"/>
            <w:color w:val="0000FF"/>
            <w:sz w:val="20"/>
            <w:szCs w:val="20"/>
            <w:u w:val="single"/>
            <w:lang w:eastAsia="en-IN"/>
          </w:rPr>
          <w:t>Guidelines on Digital Lending’ dated September 2, 2022</w:t>
        </w:r>
      </w:hyperlink>
      <w:r w:rsidRPr="0090662A">
        <w:rPr>
          <w:rFonts w:ascii="Arial" w:eastAsia="Times New Roman" w:hAnsi="Arial" w:cs="Arial"/>
          <w:color w:val="000000"/>
          <w:sz w:val="20"/>
          <w:szCs w:val="20"/>
          <w:lang w:eastAsia="en-IN"/>
        </w:rPr>
        <w:t>.</w:t>
      </w:r>
      <w:proofErr w:type="gramEnd"/>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2. As announced in the </w:t>
      </w:r>
      <w:hyperlink r:id="rId46" w:tgtFrame="_blank" w:history="1">
        <w:r w:rsidRPr="0090662A">
          <w:rPr>
            <w:rFonts w:ascii="Arial" w:eastAsia="Times New Roman" w:hAnsi="Arial" w:cs="Arial"/>
            <w:color w:val="0000FF"/>
            <w:sz w:val="20"/>
            <w:szCs w:val="20"/>
            <w:u w:val="single"/>
            <w:lang w:eastAsia="en-IN"/>
          </w:rPr>
          <w:t>Statement on Developmental and Regulatory Policies dated February 8, 2024</w:t>
        </w:r>
      </w:hyperlink>
      <w:r w:rsidRPr="0090662A">
        <w:rPr>
          <w:rFonts w:ascii="Arial" w:eastAsia="Times New Roman" w:hAnsi="Arial" w:cs="Arial"/>
          <w:color w:val="000000"/>
          <w:sz w:val="20"/>
          <w:szCs w:val="20"/>
          <w:lang w:eastAsia="en-IN"/>
        </w:rPr>
        <w:t xml:space="preserve">, it </w:t>
      </w:r>
      <w:proofErr w:type="gramStart"/>
      <w:r w:rsidRPr="0090662A">
        <w:rPr>
          <w:rFonts w:ascii="Arial" w:eastAsia="Times New Roman" w:hAnsi="Arial" w:cs="Arial"/>
          <w:color w:val="000000"/>
          <w:sz w:val="20"/>
          <w:szCs w:val="20"/>
          <w:lang w:eastAsia="en-IN"/>
        </w:rPr>
        <w:t>has been decided</w:t>
      </w:r>
      <w:proofErr w:type="gramEnd"/>
      <w:r w:rsidRPr="0090662A">
        <w:rPr>
          <w:rFonts w:ascii="Arial" w:eastAsia="Times New Roman" w:hAnsi="Arial" w:cs="Arial"/>
          <w:color w:val="000000"/>
          <w:sz w:val="20"/>
          <w:szCs w:val="20"/>
          <w:lang w:eastAsia="en-IN"/>
        </w:rPr>
        <w:t xml:space="preserve"> to harmonize the instructions on the subject. This </w:t>
      </w:r>
      <w:proofErr w:type="gramStart"/>
      <w:r w:rsidRPr="0090662A">
        <w:rPr>
          <w:rFonts w:ascii="Arial" w:eastAsia="Times New Roman" w:hAnsi="Arial" w:cs="Arial"/>
          <w:color w:val="000000"/>
          <w:sz w:val="20"/>
          <w:szCs w:val="20"/>
          <w:lang w:eastAsia="en-IN"/>
        </w:rPr>
        <w:t>is being done</w:t>
      </w:r>
      <w:proofErr w:type="gramEnd"/>
      <w:r w:rsidRPr="0090662A">
        <w:rPr>
          <w:rFonts w:ascii="Arial" w:eastAsia="Times New Roman" w:hAnsi="Arial" w:cs="Arial"/>
          <w:color w:val="000000"/>
          <w:sz w:val="20"/>
          <w:szCs w:val="20"/>
          <w:lang w:eastAsia="en-IN"/>
        </w:rPr>
        <w:t xml:space="preserve"> in order to enhance transparency and reduce information asymmetry on financial products being offered by different regulated entities, thereby empowering borrowers for making an informed financial decision. The harmonised instructions shall be applicable in cases of all retail and MSME term loan products extended by all regulated entities (REs).</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 xml:space="preserve">3. For the purpose of this circular, following terms </w:t>
      </w:r>
      <w:proofErr w:type="gramStart"/>
      <w:r w:rsidRPr="0090662A">
        <w:rPr>
          <w:rFonts w:ascii="Arial" w:eastAsia="Times New Roman" w:hAnsi="Arial" w:cs="Arial"/>
          <w:color w:val="000000"/>
          <w:sz w:val="20"/>
          <w:szCs w:val="20"/>
          <w:lang w:eastAsia="en-IN"/>
        </w:rPr>
        <w:t>have been defined</w:t>
      </w:r>
      <w:proofErr w:type="gramEnd"/>
      <w:r w:rsidRPr="0090662A">
        <w:rPr>
          <w:rFonts w:ascii="Arial" w:eastAsia="Times New Roman" w:hAnsi="Arial" w:cs="Arial"/>
          <w:color w:val="000000"/>
          <w:sz w:val="20"/>
          <w:szCs w:val="20"/>
          <w:lang w:eastAsia="en-IN"/>
        </w:rPr>
        <w:t>:</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b/>
          <w:bCs/>
          <w:color w:val="000000"/>
          <w:sz w:val="20"/>
          <w:szCs w:val="20"/>
          <w:lang w:eastAsia="en-IN"/>
        </w:rPr>
        <w:t>(a) Key Facts</w:t>
      </w:r>
      <w:r w:rsidRPr="0090662A">
        <w:rPr>
          <w:rFonts w:ascii="Arial" w:eastAsia="Times New Roman" w:hAnsi="Arial" w:cs="Arial"/>
          <w:color w:val="000000"/>
          <w:sz w:val="20"/>
          <w:szCs w:val="20"/>
          <w:lang w:eastAsia="en-IN"/>
        </w:rPr>
        <w:t> of a loan agreement between an RE/a group of REs and a borrower are legally significant and deterministic facts that satisfy basic information required to assist the borrower in taking an informed financial decision.</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b/>
          <w:bCs/>
          <w:color w:val="000000"/>
          <w:sz w:val="20"/>
          <w:szCs w:val="20"/>
          <w:lang w:eastAsia="en-IN"/>
        </w:rPr>
        <w:t>(b) Key Facts Statement (KFS)</w:t>
      </w:r>
      <w:r w:rsidRPr="0090662A">
        <w:rPr>
          <w:rFonts w:ascii="Arial" w:eastAsia="Times New Roman" w:hAnsi="Arial" w:cs="Arial"/>
          <w:color w:val="000000"/>
          <w:sz w:val="20"/>
          <w:szCs w:val="20"/>
          <w:lang w:eastAsia="en-IN"/>
        </w:rPr>
        <w:t> is a statement of key facts of a loan agreement, in simple and easier to understand language, provided to the borrower in a standardised format.</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b/>
          <w:bCs/>
          <w:color w:val="000000"/>
          <w:sz w:val="20"/>
          <w:szCs w:val="20"/>
          <w:lang w:eastAsia="en-IN"/>
        </w:rPr>
        <w:t>(c) Annual Percentage Rate (APR)</w:t>
      </w:r>
      <w:r w:rsidRPr="0090662A">
        <w:rPr>
          <w:rFonts w:ascii="Arial" w:eastAsia="Times New Roman" w:hAnsi="Arial" w:cs="Arial"/>
          <w:color w:val="000000"/>
          <w:sz w:val="20"/>
          <w:szCs w:val="20"/>
          <w:lang w:eastAsia="en-IN"/>
        </w:rPr>
        <w:t> is the annual cost of credit to the borrower which includes interest rate and all other charges associated with the credit facility.</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b/>
          <w:bCs/>
          <w:color w:val="000000"/>
          <w:sz w:val="20"/>
          <w:szCs w:val="20"/>
          <w:lang w:eastAsia="en-IN"/>
        </w:rPr>
        <w:t>(d) Equated Periodic Instalment (EPI)</w:t>
      </w:r>
      <w:r w:rsidRPr="0090662A">
        <w:rPr>
          <w:rFonts w:ascii="Arial" w:eastAsia="Times New Roman" w:hAnsi="Arial" w:cs="Arial"/>
          <w:color w:val="000000"/>
          <w:sz w:val="20"/>
          <w:szCs w:val="20"/>
          <w:lang w:eastAsia="en-IN"/>
        </w:rPr>
        <w:t xml:space="preserve"> is an equated or fixed amount of repayments, consisting of both the principal and interest components, to </w:t>
      </w:r>
      <w:proofErr w:type="gramStart"/>
      <w:r w:rsidRPr="0090662A">
        <w:rPr>
          <w:rFonts w:ascii="Arial" w:eastAsia="Times New Roman" w:hAnsi="Arial" w:cs="Arial"/>
          <w:color w:val="000000"/>
          <w:sz w:val="20"/>
          <w:szCs w:val="20"/>
          <w:lang w:eastAsia="en-IN"/>
        </w:rPr>
        <w:t>be paid</w:t>
      </w:r>
      <w:proofErr w:type="gramEnd"/>
      <w:r w:rsidRPr="0090662A">
        <w:rPr>
          <w:rFonts w:ascii="Arial" w:eastAsia="Times New Roman" w:hAnsi="Arial" w:cs="Arial"/>
          <w:color w:val="000000"/>
          <w:sz w:val="20"/>
          <w:szCs w:val="20"/>
          <w:lang w:eastAsia="en-IN"/>
        </w:rPr>
        <w:t xml:space="preserve"> by a borrower towards repayment of a loan at periodic intervals for a fixed number of such intervals; and which result in complete amortisation of the loan. EPIs at monthly intervals </w:t>
      </w:r>
      <w:proofErr w:type="gramStart"/>
      <w:r w:rsidRPr="0090662A">
        <w:rPr>
          <w:rFonts w:ascii="Arial" w:eastAsia="Times New Roman" w:hAnsi="Arial" w:cs="Arial"/>
          <w:color w:val="000000"/>
          <w:sz w:val="20"/>
          <w:szCs w:val="20"/>
          <w:lang w:eastAsia="en-IN"/>
        </w:rPr>
        <w:t>are called</w:t>
      </w:r>
      <w:proofErr w:type="gramEnd"/>
      <w:r w:rsidRPr="0090662A">
        <w:rPr>
          <w:rFonts w:ascii="Arial" w:eastAsia="Times New Roman" w:hAnsi="Arial" w:cs="Arial"/>
          <w:color w:val="000000"/>
          <w:sz w:val="20"/>
          <w:szCs w:val="20"/>
          <w:lang w:eastAsia="en-IN"/>
        </w:rPr>
        <w:t xml:space="preserve"> EMIs.</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Other words and expressions not defined above, but used in this circular, shall have the same meaning as assigned to them under the </w:t>
      </w:r>
      <w:hyperlink r:id="rId47" w:tgtFrame="_blank" w:history="1">
        <w:r w:rsidRPr="0090662A">
          <w:rPr>
            <w:rFonts w:ascii="Arial" w:eastAsia="Times New Roman" w:hAnsi="Arial" w:cs="Arial"/>
            <w:color w:val="0000FF"/>
            <w:sz w:val="20"/>
            <w:szCs w:val="20"/>
            <w:u w:val="single"/>
            <w:lang w:eastAsia="en-IN"/>
          </w:rPr>
          <w:t>Master Direction on Interest Rate on Advances (2016)</w:t>
        </w:r>
      </w:hyperlink>
      <w:r w:rsidRPr="0090662A">
        <w:rPr>
          <w:rFonts w:ascii="Arial" w:eastAsia="Times New Roman" w:hAnsi="Arial" w:cs="Arial"/>
          <w:color w:val="000000"/>
          <w:sz w:val="20"/>
          <w:szCs w:val="20"/>
          <w:lang w:eastAsia="en-IN"/>
        </w:rPr>
        <w:t> as updated from time to time or any other relevant regulation issued by the Reserve Bank.</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4. REs shall provide a KFS to all prospective borrowers to help them take an informed view before executing the loan contract, as per the standardised format given in the </w:t>
      </w:r>
      <w:hyperlink r:id="rId48" w:tgtFrame="_blank" w:history="1">
        <w:r w:rsidRPr="0090662A">
          <w:rPr>
            <w:rFonts w:ascii="Arial" w:eastAsia="Times New Roman" w:hAnsi="Arial" w:cs="Arial"/>
            <w:b/>
            <w:bCs/>
            <w:color w:val="0000FF"/>
            <w:sz w:val="20"/>
            <w:szCs w:val="20"/>
            <w:u w:val="single"/>
            <w:lang w:eastAsia="en-IN"/>
          </w:rPr>
          <w:t>Annex A</w:t>
        </w:r>
      </w:hyperlink>
      <w:r w:rsidRPr="0090662A">
        <w:rPr>
          <w:rFonts w:ascii="Arial" w:eastAsia="Times New Roman" w:hAnsi="Arial" w:cs="Arial"/>
          <w:color w:val="000000"/>
          <w:sz w:val="20"/>
          <w:szCs w:val="20"/>
          <w:lang w:eastAsia="en-IN"/>
        </w:rPr>
        <w:t xml:space="preserve">. The KFS </w:t>
      </w:r>
      <w:proofErr w:type="gramStart"/>
      <w:r w:rsidRPr="0090662A">
        <w:rPr>
          <w:rFonts w:ascii="Arial" w:eastAsia="Times New Roman" w:hAnsi="Arial" w:cs="Arial"/>
          <w:color w:val="000000"/>
          <w:sz w:val="20"/>
          <w:szCs w:val="20"/>
          <w:lang w:eastAsia="en-IN"/>
        </w:rPr>
        <w:t>shall be written</w:t>
      </w:r>
      <w:proofErr w:type="gramEnd"/>
      <w:r w:rsidRPr="0090662A">
        <w:rPr>
          <w:rFonts w:ascii="Arial" w:eastAsia="Times New Roman" w:hAnsi="Arial" w:cs="Arial"/>
          <w:color w:val="000000"/>
          <w:sz w:val="20"/>
          <w:szCs w:val="20"/>
          <w:lang w:eastAsia="en-IN"/>
        </w:rPr>
        <w:t xml:space="preserve"> in a language understood by such borrowers. Contents of KFS </w:t>
      </w:r>
      <w:proofErr w:type="gramStart"/>
      <w:r w:rsidRPr="0090662A">
        <w:rPr>
          <w:rFonts w:ascii="Arial" w:eastAsia="Times New Roman" w:hAnsi="Arial" w:cs="Arial"/>
          <w:color w:val="000000"/>
          <w:sz w:val="20"/>
          <w:szCs w:val="20"/>
          <w:lang w:eastAsia="en-IN"/>
        </w:rPr>
        <w:t>shall be explained</w:t>
      </w:r>
      <w:proofErr w:type="gramEnd"/>
      <w:r w:rsidRPr="0090662A">
        <w:rPr>
          <w:rFonts w:ascii="Arial" w:eastAsia="Times New Roman" w:hAnsi="Arial" w:cs="Arial"/>
          <w:color w:val="000000"/>
          <w:sz w:val="20"/>
          <w:szCs w:val="20"/>
          <w:lang w:eastAsia="en-IN"/>
        </w:rPr>
        <w:t xml:space="preserve"> to the borrower and an acknowledgement shall be obtained that he/she has understood the same.</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 xml:space="preserve">5. Further, the KFS </w:t>
      </w:r>
      <w:proofErr w:type="gramStart"/>
      <w:r w:rsidRPr="0090662A">
        <w:rPr>
          <w:rFonts w:ascii="Arial" w:eastAsia="Times New Roman" w:hAnsi="Arial" w:cs="Arial"/>
          <w:color w:val="000000"/>
          <w:sz w:val="20"/>
          <w:szCs w:val="20"/>
          <w:lang w:eastAsia="en-IN"/>
        </w:rPr>
        <w:t>shall be provided</w:t>
      </w:r>
      <w:proofErr w:type="gramEnd"/>
      <w:r w:rsidRPr="0090662A">
        <w:rPr>
          <w:rFonts w:ascii="Arial" w:eastAsia="Times New Roman" w:hAnsi="Arial" w:cs="Arial"/>
          <w:color w:val="000000"/>
          <w:sz w:val="20"/>
          <w:szCs w:val="20"/>
          <w:lang w:eastAsia="en-IN"/>
        </w:rPr>
        <w:t xml:space="preserve"> with a unique proposal number and shall have a validity period of at least three working days for loans having tenor of seven days or more, and a validity period of one working day for loans having tenor of less than seven days.</w:t>
      </w:r>
      <w:hyperlink r:id="rId49" w:anchor="F1" w:history="1">
        <w:r w:rsidRPr="0090662A">
          <w:rPr>
            <w:rFonts w:ascii="Arial" w:eastAsia="Times New Roman" w:hAnsi="Arial" w:cs="Arial"/>
            <w:color w:val="0000FF"/>
            <w:sz w:val="15"/>
            <w:szCs w:val="15"/>
            <w:u w:val="single"/>
            <w:vertAlign w:val="superscript"/>
            <w:lang w:eastAsia="en-IN"/>
          </w:rPr>
          <w:t>1</w:t>
        </w:r>
      </w:hyperlink>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i/>
          <w:iCs/>
          <w:color w:val="000000"/>
          <w:sz w:val="20"/>
          <w:szCs w:val="20"/>
          <w:u w:val="single"/>
          <w:lang w:eastAsia="en-IN"/>
        </w:rPr>
        <w:t>Explanation</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lastRenderedPageBreak/>
        <w:t xml:space="preserve">Validity period refers to the period available to the borrower, after </w:t>
      </w:r>
      <w:proofErr w:type="gramStart"/>
      <w:r w:rsidRPr="0090662A">
        <w:rPr>
          <w:rFonts w:ascii="Arial" w:eastAsia="Times New Roman" w:hAnsi="Arial" w:cs="Arial"/>
          <w:color w:val="000000"/>
          <w:sz w:val="20"/>
          <w:szCs w:val="20"/>
          <w:lang w:eastAsia="en-IN"/>
        </w:rPr>
        <w:t>being provided</w:t>
      </w:r>
      <w:proofErr w:type="gramEnd"/>
      <w:r w:rsidRPr="0090662A">
        <w:rPr>
          <w:rFonts w:ascii="Arial" w:eastAsia="Times New Roman" w:hAnsi="Arial" w:cs="Arial"/>
          <w:color w:val="000000"/>
          <w:sz w:val="20"/>
          <w:szCs w:val="20"/>
          <w:lang w:eastAsia="en-IN"/>
        </w:rPr>
        <w:t xml:space="preserve"> the KFS by the RE, to agree to the terms of the loan. The RE </w:t>
      </w:r>
      <w:proofErr w:type="gramStart"/>
      <w:r w:rsidRPr="0090662A">
        <w:rPr>
          <w:rFonts w:ascii="Arial" w:eastAsia="Times New Roman" w:hAnsi="Arial" w:cs="Arial"/>
          <w:color w:val="000000"/>
          <w:sz w:val="20"/>
          <w:szCs w:val="20"/>
          <w:lang w:eastAsia="en-IN"/>
        </w:rPr>
        <w:t>shall be bound</w:t>
      </w:r>
      <w:proofErr w:type="gramEnd"/>
      <w:r w:rsidRPr="0090662A">
        <w:rPr>
          <w:rFonts w:ascii="Arial" w:eastAsia="Times New Roman" w:hAnsi="Arial" w:cs="Arial"/>
          <w:color w:val="000000"/>
          <w:sz w:val="20"/>
          <w:szCs w:val="20"/>
          <w:lang w:eastAsia="en-IN"/>
        </w:rPr>
        <w:t xml:space="preserve"> by the terms of the loan indicated in the KFS, if agreed to by the borrower during the validity period.</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 xml:space="preserve">6. The KFS shall also include a computation sheet of annual percentage rate (APR), and the amortisation schedule of the loan over the loan tenor. APR will include all </w:t>
      </w:r>
      <w:proofErr w:type="gramStart"/>
      <w:r w:rsidRPr="0090662A">
        <w:rPr>
          <w:rFonts w:ascii="Arial" w:eastAsia="Times New Roman" w:hAnsi="Arial" w:cs="Arial"/>
          <w:color w:val="000000"/>
          <w:sz w:val="20"/>
          <w:szCs w:val="20"/>
          <w:lang w:eastAsia="en-IN"/>
        </w:rPr>
        <w:t>charges which</w:t>
      </w:r>
      <w:proofErr w:type="gramEnd"/>
      <w:r w:rsidRPr="0090662A">
        <w:rPr>
          <w:rFonts w:ascii="Arial" w:eastAsia="Times New Roman" w:hAnsi="Arial" w:cs="Arial"/>
          <w:color w:val="000000"/>
          <w:sz w:val="20"/>
          <w:szCs w:val="20"/>
          <w:lang w:eastAsia="en-IN"/>
        </w:rPr>
        <w:t xml:space="preserve"> are levied by the RE. Illustrative examples of calculation of APR and disclosure of repayment schedule for a hypothetical loan </w:t>
      </w:r>
      <w:proofErr w:type="gramStart"/>
      <w:r w:rsidRPr="0090662A">
        <w:rPr>
          <w:rFonts w:ascii="Arial" w:eastAsia="Times New Roman" w:hAnsi="Arial" w:cs="Arial"/>
          <w:color w:val="000000"/>
          <w:sz w:val="20"/>
          <w:szCs w:val="20"/>
          <w:lang w:eastAsia="en-IN"/>
        </w:rPr>
        <w:t>are given</w:t>
      </w:r>
      <w:proofErr w:type="gramEnd"/>
      <w:r w:rsidRPr="0090662A">
        <w:rPr>
          <w:rFonts w:ascii="Arial" w:eastAsia="Times New Roman" w:hAnsi="Arial" w:cs="Arial"/>
          <w:color w:val="000000"/>
          <w:sz w:val="20"/>
          <w:szCs w:val="20"/>
          <w:lang w:eastAsia="en-IN"/>
        </w:rPr>
        <w:t xml:space="preserve"> in </w:t>
      </w:r>
      <w:hyperlink r:id="rId50" w:tgtFrame="_blank" w:history="1">
        <w:r w:rsidRPr="0090662A">
          <w:rPr>
            <w:rFonts w:ascii="Arial" w:eastAsia="Times New Roman" w:hAnsi="Arial" w:cs="Arial"/>
            <w:b/>
            <w:bCs/>
            <w:color w:val="0000FF"/>
            <w:sz w:val="20"/>
            <w:szCs w:val="20"/>
            <w:u w:val="single"/>
            <w:lang w:eastAsia="en-IN"/>
          </w:rPr>
          <w:t>Annex B</w:t>
        </w:r>
      </w:hyperlink>
      <w:r w:rsidRPr="0090662A">
        <w:rPr>
          <w:rFonts w:ascii="Arial" w:eastAsia="Times New Roman" w:hAnsi="Arial" w:cs="Arial"/>
          <w:b/>
          <w:bCs/>
          <w:color w:val="000000"/>
          <w:sz w:val="20"/>
          <w:szCs w:val="20"/>
          <w:lang w:eastAsia="en-IN"/>
        </w:rPr>
        <w:t> and </w:t>
      </w:r>
      <w:hyperlink r:id="rId51" w:tgtFrame="_blank" w:history="1">
        <w:r w:rsidRPr="0090662A">
          <w:rPr>
            <w:rFonts w:ascii="Arial" w:eastAsia="Times New Roman" w:hAnsi="Arial" w:cs="Arial"/>
            <w:b/>
            <w:bCs/>
            <w:color w:val="0000FF"/>
            <w:sz w:val="20"/>
            <w:szCs w:val="20"/>
            <w:u w:val="single"/>
            <w:lang w:eastAsia="en-IN"/>
          </w:rPr>
          <w:t>C</w:t>
        </w:r>
      </w:hyperlink>
      <w:r w:rsidRPr="0090662A">
        <w:rPr>
          <w:rFonts w:ascii="Arial" w:eastAsia="Times New Roman" w:hAnsi="Arial" w:cs="Arial"/>
          <w:b/>
          <w:bCs/>
          <w:color w:val="000000"/>
          <w:sz w:val="20"/>
          <w:szCs w:val="20"/>
          <w:lang w:eastAsia="en-IN"/>
        </w:rPr>
        <w:t> respectively</w:t>
      </w:r>
      <w:r w:rsidRPr="0090662A">
        <w:rPr>
          <w:rFonts w:ascii="Arial" w:eastAsia="Times New Roman" w:hAnsi="Arial" w:cs="Arial"/>
          <w:color w:val="000000"/>
          <w:sz w:val="20"/>
          <w:szCs w:val="20"/>
          <w:lang w:eastAsia="en-IN"/>
        </w:rPr>
        <w:t>.</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7. Charges recovered from the borrowers by the REs on behalf of third-party service providers on actual basis, such as insurance charges, legal charges etc</w:t>
      </w:r>
      <w:proofErr w:type="gramStart"/>
      <w:r w:rsidRPr="0090662A">
        <w:rPr>
          <w:rFonts w:ascii="Arial" w:eastAsia="Times New Roman" w:hAnsi="Arial" w:cs="Arial"/>
          <w:color w:val="000000"/>
          <w:sz w:val="20"/>
          <w:szCs w:val="20"/>
          <w:lang w:eastAsia="en-IN"/>
        </w:rPr>
        <w:t>.,</w:t>
      </w:r>
      <w:proofErr w:type="gramEnd"/>
      <w:r w:rsidRPr="0090662A">
        <w:rPr>
          <w:rFonts w:ascii="Arial" w:eastAsia="Times New Roman" w:hAnsi="Arial" w:cs="Arial"/>
          <w:color w:val="000000"/>
          <w:sz w:val="20"/>
          <w:szCs w:val="20"/>
          <w:lang w:eastAsia="en-IN"/>
        </w:rPr>
        <w:t xml:space="preserve"> shall also form part of the APR and shall be disclosed separately. In all cases wherever the RE is involved in recovering such charges, the receipts and related documents </w:t>
      </w:r>
      <w:proofErr w:type="gramStart"/>
      <w:r w:rsidRPr="0090662A">
        <w:rPr>
          <w:rFonts w:ascii="Arial" w:eastAsia="Times New Roman" w:hAnsi="Arial" w:cs="Arial"/>
          <w:color w:val="000000"/>
          <w:sz w:val="20"/>
          <w:szCs w:val="20"/>
          <w:lang w:eastAsia="en-IN"/>
        </w:rPr>
        <w:t>shall be provided</w:t>
      </w:r>
      <w:proofErr w:type="gramEnd"/>
      <w:r w:rsidRPr="0090662A">
        <w:rPr>
          <w:rFonts w:ascii="Arial" w:eastAsia="Times New Roman" w:hAnsi="Arial" w:cs="Arial"/>
          <w:color w:val="000000"/>
          <w:sz w:val="20"/>
          <w:szCs w:val="20"/>
          <w:lang w:eastAsia="en-IN"/>
        </w:rPr>
        <w:t xml:space="preserve"> to the borrower for each payment, within a reasonable time.</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8. Any fees, charges, etc. which are not mentioned in the KFS, cannot be charged by the REs to the borrower at any stage during the term of the loan, without explicit consent of the borrower.</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 xml:space="preserve">9. The KFS shall also be included as a summary box to </w:t>
      </w:r>
      <w:proofErr w:type="gramStart"/>
      <w:r w:rsidRPr="0090662A">
        <w:rPr>
          <w:rFonts w:ascii="Arial" w:eastAsia="Times New Roman" w:hAnsi="Arial" w:cs="Arial"/>
          <w:color w:val="000000"/>
          <w:sz w:val="20"/>
          <w:szCs w:val="20"/>
          <w:lang w:eastAsia="en-IN"/>
        </w:rPr>
        <w:t>be exhibited</w:t>
      </w:r>
      <w:proofErr w:type="gramEnd"/>
      <w:r w:rsidRPr="0090662A">
        <w:rPr>
          <w:rFonts w:ascii="Arial" w:eastAsia="Times New Roman" w:hAnsi="Arial" w:cs="Arial"/>
          <w:color w:val="000000"/>
          <w:sz w:val="20"/>
          <w:szCs w:val="20"/>
          <w:lang w:eastAsia="en-IN"/>
        </w:rPr>
        <w:t xml:space="preserve"> as part of the loan agreement.</w:t>
      </w:r>
    </w:p>
    <w:p w:rsidR="0090662A" w:rsidRPr="0090662A" w:rsidRDefault="0090662A" w:rsidP="0090662A">
      <w:pPr>
        <w:spacing w:before="100" w:beforeAutospacing="1" w:after="100" w:afterAutospacing="1" w:line="240" w:lineRule="auto"/>
        <w:jc w:val="both"/>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t>Exemptions</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 xml:space="preserve">10. Credit card receivables </w:t>
      </w:r>
      <w:proofErr w:type="gramStart"/>
      <w:r w:rsidRPr="0090662A">
        <w:rPr>
          <w:rFonts w:ascii="Arial" w:eastAsia="Times New Roman" w:hAnsi="Arial" w:cs="Arial"/>
          <w:color w:val="000000"/>
          <w:sz w:val="20"/>
          <w:szCs w:val="20"/>
          <w:lang w:eastAsia="en-IN"/>
        </w:rPr>
        <w:t>are exempted</w:t>
      </w:r>
      <w:proofErr w:type="gramEnd"/>
      <w:r w:rsidRPr="0090662A">
        <w:rPr>
          <w:rFonts w:ascii="Arial" w:eastAsia="Times New Roman" w:hAnsi="Arial" w:cs="Arial"/>
          <w:color w:val="000000"/>
          <w:sz w:val="20"/>
          <w:szCs w:val="20"/>
          <w:lang w:eastAsia="en-IN"/>
        </w:rPr>
        <w:t xml:space="preserve"> from the provisions contained under this circular.</w:t>
      </w:r>
    </w:p>
    <w:p w:rsidR="0090662A" w:rsidRPr="0090662A" w:rsidRDefault="0090662A" w:rsidP="0090662A">
      <w:pPr>
        <w:spacing w:before="100" w:beforeAutospacing="1" w:after="100" w:afterAutospacing="1" w:line="240" w:lineRule="auto"/>
        <w:jc w:val="both"/>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t>Applicability and Commencement</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11. REs shall put in place the necessary systems and processes to implement the above guidelines at the earliest. In any case, all new retail and MSME term loans sanctioned on or after October 1, 2024, including fresh loans to existing customers, shall comply with the above guidelines in letter and spirit without any exception. During the interregnum, the relevant provisions on ‘KFS/Factsheet’ under the extant guidelines shall continue to remain applicable, including the ‘</w:t>
      </w:r>
      <w:hyperlink r:id="rId52" w:tgtFrame="_blank" w:history="1">
        <w:r w:rsidRPr="0090662A">
          <w:rPr>
            <w:rFonts w:ascii="Arial" w:eastAsia="Times New Roman" w:hAnsi="Arial" w:cs="Arial"/>
            <w:color w:val="0000FF"/>
            <w:sz w:val="20"/>
            <w:szCs w:val="20"/>
            <w:u w:val="single"/>
            <w:lang w:eastAsia="en-IN"/>
          </w:rPr>
          <w:t>Guidelines on Digital Lending</w:t>
        </w:r>
      </w:hyperlink>
      <w:r w:rsidRPr="0090662A">
        <w:rPr>
          <w:rFonts w:ascii="Arial" w:eastAsia="Times New Roman" w:hAnsi="Arial" w:cs="Arial"/>
          <w:color w:val="000000"/>
          <w:sz w:val="20"/>
          <w:szCs w:val="20"/>
          <w:lang w:eastAsia="en-IN"/>
        </w:rPr>
        <w:t>’, the </w:t>
      </w:r>
      <w:hyperlink r:id="rId53" w:tgtFrame="_blank" w:history="1">
        <w:r w:rsidRPr="0090662A">
          <w:rPr>
            <w:rFonts w:ascii="Arial" w:eastAsia="Times New Roman" w:hAnsi="Arial" w:cs="Arial"/>
            <w:color w:val="0000FF"/>
            <w:sz w:val="20"/>
            <w:szCs w:val="20"/>
            <w:u w:val="single"/>
            <w:lang w:eastAsia="en-IN"/>
          </w:rPr>
          <w:t>Master Direction on ‘Regulatory Framework for Microfinance Loans’</w:t>
        </w:r>
      </w:hyperlink>
      <w:r w:rsidRPr="0090662A">
        <w:rPr>
          <w:rFonts w:ascii="Arial" w:eastAsia="Times New Roman" w:hAnsi="Arial" w:cs="Arial"/>
          <w:color w:val="000000"/>
          <w:sz w:val="20"/>
          <w:szCs w:val="20"/>
          <w:lang w:eastAsia="en-IN"/>
        </w:rPr>
        <w:t>, and the </w:t>
      </w:r>
      <w:hyperlink r:id="rId54" w:tgtFrame="_blank" w:history="1">
        <w:r w:rsidRPr="0090662A">
          <w:rPr>
            <w:rFonts w:ascii="Arial" w:eastAsia="Times New Roman" w:hAnsi="Arial" w:cs="Arial"/>
            <w:color w:val="0000FF"/>
            <w:sz w:val="20"/>
            <w:szCs w:val="20"/>
            <w:u w:val="single"/>
            <w:lang w:eastAsia="en-IN"/>
          </w:rPr>
          <w:t>circular on ‘Display of Information by Banks’</w:t>
        </w:r>
      </w:hyperlink>
      <w:r w:rsidRPr="0090662A">
        <w:rPr>
          <w:rFonts w:ascii="Arial" w:eastAsia="Times New Roman" w:hAnsi="Arial" w:cs="Arial"/>
          <w:color w:val="000000"/>
          <w:sz w:val="20"/>
          <w:szCs w:val="20"/>
          <w:lang w:eastAsia="en-IN"/>
        </w:rPr>
        <w:t>.</w:t>
      </w:r>
    </w:p>
    <w:p w:rsidR="0090662A" w:rsidRPr="0090662A" w:rsidRDefault="0090662A" w:rsidP="0090662A">
      <w:pPr>
        <w:spacing w:before="100" w:beforeAutospacing="1" w:after="100" w:afterAutospacing="1" w:line="240" w:lineRule="auto"/>
        <w:jc w:val="both"/>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t>Legal Provisions</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 xml:space="preserve">12. The above instructions </w:t>
      </w:r>
      <w:proofErr w:type="gramStart"/>
      <w:r w:rsidRPr="0090662A">
        <w:rPr>
          <w:rFonts w:ascii="Arial" w:eastAsia="Times New Roman" w:hAnsi="Arial" w:cs="Arial"/>
          <w:color w:val="000000"/>
          <w:sz w:val="20"/>
          <w:szCs w:val="20"/>
          <w:lang w:eastAsia="en-IN"/>
        </w:rPr>
        <w:t>are issued</w:t>
      </w:r>
      <w:proofErr w:type="gramEnd"/>
      <w:r w:rsidRPr="0090662A">
        <w:rPr>
          <w:rFonts w:ascii="Arial" w:eastAsia="Times New Roman" w:hAnsi="Arial" w:cs="Arial"/>
          <w:color w:val="000000"/>
          <w:sz w:val="20"/>
          <w:szCs w:val="20"/>
          <w:lang w:eastAsia="en-IN"/>
        </w:rPr>
        <w:t xml:space="preserve"> under sections 21, 35A and 56 of the Banking Regulation Act, 1949, sections 45JA, 45L and 45M of the Reserve Bank of India Act, 1934, and sections 30A and 32 of the National Housing Bank Act, 1987.</w:t>
      </w:r>
    </w:p>
    <w:p w:rsidR="0090662A" w:rsidRPr="0090662A" w:rsidRDefault="0090662A" w:rsidP="0090662A">
      <w:pPr>
        <w:spacing w:before="100" w:beforeAutospacing="1" w:after="100" w:afterAutospacing="1" w:line="240" w:lineRule="auto"/>
        <w:jc w:val="both"/>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t>Repeal</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13. With the issue of these guidelines, the instructions/guidelines contained in the following circulars, issued by the Reserve Bank stand repealed.</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7"/>
        <w:gridCol w:w="3337"/>
        <w:gridCol w:w="1069"/>
        <w:gridCol w:w="3797"/>
      </w:tblGrid>
      <w:tr w:rsidR="0090662A" w:rsidRPr="0090662A" w:rsidTr="0090662A">
        <w:trPr>
          <w:jc w:val="center"/>
        </w:trPr>
        <w:tc>
          <w:tcPr>
            <w:tcW w:w="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t>No</w:t>
            </w:r>
          </w:p>
        </w:tc>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t>Circular No.</w:t>
            </w:r>
          </w:p>
        </w:tc>
        <w:tc>
          <w:tcPr>
            <w:tcW w:w="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t>Date</w:t>
            </w:r>
          </w:p>
        </w:tc>
        <w:tc>
          <w:tcPr>
            <w:tcW w:w="2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b/>
                <w:bCs/>
                <w:color w:val="000000"/>
                <w:sz w:val="20"/>
                <w:szCs w:val="20"/>
                <w:lang w:eastAsia="en-IN"/>
              </w:rPr>
            </w:pPr>
            <w:r w:rsidRPr="0090662A">
              <w:rPr>
                <w:rFonts w:ascii="Arial" w:eastAsia="Times New Roman" w:hAnsi="Arial" w:cs="Arial"/>
                <w:b/>
                <w:bCs/>
                <w:color w:val="000000"/>
                <w:sz w:val="20"/>
                <w:szCs w:val="20"/>
                <w:lang w:eastAsia="en-IN"/>
              </w:rPr>
              <w:t>Subject</w:t>
            </w:r>
          </w:p>
        </w:tc>
      </w:tr>
      <w:tr w:rsidR="0090662A" w:rsidRPr="0090662A" w:rsidTr="0090662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both"/>
              <w:rPr>
                <w:rFonts w:ascii="Arial" w:eastAsia="Times New Roman" w:hAnsi="Arial" w:cs="Arial"/>
                <w:color w:val="000000"/>
                <w:sz w:val="20"/>
                <w:szCs w:val="20"/>
                <w:lang w:eastAsia="en-IN"/>
              </w:rPr>
            </w:pPr>
            <w:hyperlink r:id="rId55" w:tgtFrame="_blank" w:history="1">
              <w:r w:rsidRPr="0090662A">
                <w:rPr>
                  <w:rFonts w:ascii="Arial" w:eastAsia="Times New Roman" w:hAnsi="Arial" w:cs="Arial"/>
                  <w:color w:val="0000FF"/>
                  <w:sz w:val="20"/>
                  <w:szCs w:val="20"/>
                  <w:u w:val="single"/>
                  <w:lang w:eastAsia="en-IN"/>
                </w:rPr>
                <w:t>DBR.Leg.No.BC.64/09.07.005/2014-15</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January 22, 2015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Para 2 (b) of Circular on Display of information by banks</w:t>
            </w:r>
          </w:p>
        </w:tc>
      </w:tr>
      <w:tr w:rsidR="0090662A" w:rsidRPr="0090662A" w:rsidTr="0090662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both"/>
              <w:rPr>
                <w:rFonts w:ascii="Arial" w:eastAsia="Times New Roman" w:hAnsi="Arial" w:cs="Arial"/>
                <w:color w:val="000000"/>
                <w:sz w:val="20"/>
                <w:szCs w:val="20"/>
                <w:lang w:eastAsia="en-IN"/>
              </w:rPr>
            </w:pPr>
            <w:hyperlink r:id="rId56" w:tgtFrame="_blank" w:history="1">
              <w:r w:rsidRPr="0090662A">
                <w:rPr>
                  <w:rFonts w:ascii="Arial" w:eastAsia="Times New Roman" w:hAnsi="Arial" w:cs="Arial"/>
                  <w:color w:val="0000FF"/>
                  <w:sz w:val="20"/>
                  <w:szCs w:val="20"/>
                  <w:u w:val="single"/>
                  <w:lang w:eastAsia="en-IN"/>
                </w:rPr>
                <w:t>DoR.FIN.REC.95/03.10.038/2021-22</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March 14,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Para 6.3, 6.4 &amp; 6.5 of Master Direction – Reserve Bank of India (Regulatory Framework for Microfinance Loans) Directions, 2022</w:t>
            </w:r>
          </w:p>
        </w:tc>
      </w:tr>
      <w:tr w:rsidR="0090662A" w:rsidRPr="0090662A" w:rsidTr="0090662A">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both"/>
              <w:rPr>
                <w:rFonts w:ascii="Arial" w:eastAsia="Times New Roman" w:hAnsi="Arial" w:cs="Arial"/>
                <w:color w:val="000000"/>
                <w:sz w:val="20"/>
                <w:szCs w:val="20"/>
                <w:lang w:eastAsia="en-IN"/>
              </w:rPr>
            </w:pPr>
            <w:hyperlink r:id="rId57" w:tgtFrame="_blank" w:history="1">
              <w:r w:rsidRPr="0090662A">
                <w:rPr>
                  <w:rFonts w:ascii="Arial" w:eastAsia="Times New Roman" w:hAnsi="Arial" w:cs="Arial"/>
                  <w:color w:val="0000FF"/>
                  <w:sz w:val="20"/>
                  <w:szCs w:val="20"/>
                  <w:u w:val="single"/>
                  <w:lang w:eastAsia="en-IN"/>
                </w:rPr>
                <w:t>DOR.CRE.REC.66/21.07.001/2022-23</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center"/>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September 02,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90662A" w:rsidRPr="0090662A" w:rsidRDefault="0090662A" w:rsidP="0090662A">
            <w:pPr>
              <w:spacing w:after="0"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Para 5.1, 5.2 of Guidelines on Digital Lending</w:t>
            </w:r>
          </w:p>
        </w:tc>
      </w:tr>
    </w:tbl>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 xml:space="preserve">All the repealed circulars/provisions </w:t>
      </w:r>
      <w:proofErr w:type="gramStart"/>
      <w:r w:rsidRPr="0090662A">
        <w:rPr>
          <w:rFonts w:ascii="Arial" w:eastAsia="Times New Roman" w:hAnsi="Arial" w:cs="Arial"/>
          <w:color w:val="000000"/>
          <w:sz w:val="20"/>
          <w:szCs w:val="20"/>
          <w:lang w:eastAsia="en-IN"/>
        </w:rPr>
        <w:t>shall be deemed</w:t>
      </w:r>
      <w:proofErr w:type="gramEnd"/>
      <w:r w:rsidRPr="0090662A">
        <w:rPr>
          <w:rFonts w:ascii="Arial" w:eastAsia="Times New Roman" w:hAnsi="Arial" w:cs="Arial"/>
          <w:color w:val="000000"/>
          <w:sz w:val="20"/>
          <w:szCs w:val="20"/>
          <w:lang w:eastAsia="en-IN"/>
        </w:rPr>
        <w:t xml:space="preserve"> to have been in force during the relevant periods, prior to the coming into effect of these directions.</w:t>
      </w:r>
    </w:p>
    <w:p w:rsidR="0090662A" w:rsidRPr="0090662A" w:rsidRDefault="0090662A" w:rsidP="0090662A">
      <w:pPr>
        <w:spacing w:before="100" w:beforeAutospacing="1" w:after="100" w:afterAutospacing="1" w:line="240" w:lineRule="auto"/>
        <w:jc w:val="both"/>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lastRenderedPageBreak/>
        <w:t>Yours faithfully,</w:t>
      </w:r>
    </w:p>
    <w:p w:rsidR="0090662A" w:rsidRDefault="0090662A" w:rsidP="0090662A">
      <w:pPr>
        <w:spacing w:before="100" w:beforeAutospacing="1" w:after="100" w:afterAutospacing="1" w:line="240" w:lineRule="auto"/>
        <w:rPr>
          <w:rFonts w:ascii="Arial" w:eastAsia="Times New Roman" w:hAnsi="Arial" w:cs="Arial"/>
          <w:color w:val="000000"/>
          <w:sz w:val="20"/>
          <w:szCs w:val="20"/>
          <w:lang w:eastAsia="en-IN"/>
        </w:rPr>
      </w:pPr>
      <w:proofErr w:type="spellStart"/>
      <w:r w:rsidRPr="0090662A">
        <w:rPr>
          <w:rFonts w:ascii="Arial" w:eastAsia="Times New Roman" w:hAnsi="Arial" w:cs="Arial"/>
          <w:color w:val="000000"/>
          <w:sz w:val="20"/>
          <w:szCs w:val="20"/>
          <w:lang w:eastAsia="en-IN"/>
        </w:rPr>
        <w:t>Vaibhav</w:t>
      </w:r>
      <w:proofErr w:type="spellEnd"/>
      <w:r w:rsidRPr="0090662A">
        <w:rPr>
          <w:rFonts w:ascii="Arial" w:eastAsia="Times New Roman" w:hAnsi="Arial" w:cs="Arial"/>
          <w:color w:val="000000"/>
          <w:sz w:val="20"/>
          <w:szCs w:val="20"/>
          <w:lang w:eastAsia="en-IN"/>
        </w:rPr>
        <w:t xml:space="preserve"> </w:t>
      </w:r>
      <w:proofErr w:type="spellStart"/>
      <w:proofErr w:type="gramStart"/>
      <w:r w:rsidRPr="0090662A">
        <w:rPr>
          <w:rFonts w:ascii="Arial" w:eastAsia="Times New Roman" w:hAnsi="Arial" w:cs="Arial"/>
          <w:color w:val="000000"/>
          <w:sz w:val="20"/>
          <w:szCs w:val="20"/>
          <w:lang w:eastAsia="en-IN"/>
        </w:rPr>
        <w:t>Chaturvedi</w:t>
      </w:r>
      <w:proofErr w:type="spellEnd"/>
      <w:proofErr w:type="gramEnd"/>
      <w:r w:rsidRPr="0090662A">
        <w:rPr>
          <w:rFonts w:ascii="Arial" w:eastAsia="Times New Roman" w:hAnsi="Arial" w:cs="Arial"/>
          <w:color w:val="000000"/>
          <w:sz w:val="20"/>
          <w:szCs w:val="20"/>
          <w:lang w:eastAsia="en-IN"/>
        </w:rPr>
        <w:br/>
        <w:t>(Chief General Manager)</w:t>
      </w:r>
    </w:p>
    <w:p w:rsidR="0090662A" w:rsidRPr="0090662A" w:rsidRDefault="0090662A" w:rsidP="0090662A">
      <w:pPr>
        <w:spacing w:before="100" w:beforeAutospacing="1" w:after="100" w:afterAutospacing="1" w:line="240" w:lineRule="auto"/>
        <w:rPr>
          <w:rFonts w:ascii="Arial" w:eastAsia="Times New Roman" w:hAnsi="Arial" w:cs="Arial"/>
          <w:color w:val="000000"/>
          <w:sz w:val="20"/>
          <w:szCs w:val="20"/>
          <w:lang w:eastAsia="en-IN"/>
        </w:rPr>
      </w:pPr>
      <w:r w:rsidRPr="0090662A">
        <w:rPr>
          <w:rFonts w:ascii="Arial" w:eastAsia="Times New Roman" w:hAnsi="Arial" w:cs="Arial"/>
          <w:color w:val="000000"/>
          <w:sz w:val="20"/>
          <w:szCs w:val="20"/>
          <w:lang w:eastAsia="en-IN"/>
        </w:rPr>
        <w:t xml:space="preserve">For more details, kindly </w:t>
      </w:r>
      <w:proofErr w:type="gramStart"/>
      <w:r w:rsidRPr="0090662A">
        <w:rPr>
          <w:rFonts w:ascii="Arial" w:eastAsia="Times New Roman" w:hAnsi="Arial" w:cs="Arial"/>
          <w:color w:val="000000"/>
          <w:sz w:val="20"/>
          <w:szCs w:val="20"/>
          <w:lang w:eastAsia="en-IN"/>
        </w:rPr>
        <w:t>refer:</w:t>
      </w:r>
      <w:proofErr w:type="gramEnd"/>
      <w:r>
        <w:rPr>
          <w:rFonts w:ascii="Arial" w:eastAsia="Times New Roman" w:hAnsi="Arial" w:cs="Arial"/>
          <w:color w:val="000000"/>
          <w:sz w:val="20"/>
          <w:szCs w:val="20"/>
          <w:lang w:eastAsia="en-IN"/>
        </w:rPr>
        <w:t xml:space="preserve"> </w:t>
      </w:r>
      <w:hyperlink r:id="rId58" w:history="1">
        <w:r w:rsidRPr="00692C03">
          <w:rPr>
            <w:rStyle w:val="Hyperlink"/>
            <w:rFonts w:ascii="Arial" w:eastAsia="Times New Roman" w:hAnsi="Arial" w:cs="Arial"/>
            <w:sz w:val="20"/>
            <w:szCs w:val="20"/>
            <w:lang w:eastAsia="en-IN"/>
          </w:rPr>
          <w:t>https://www.rbi.org.in/Scripts/NotificationUser.aspx?Id=12663&amp;Mode=0</w:t>
        </w:r>
      </w:hyperlink>
      <w:r>
        <w:rPr>
          <w:rFonts w:ascii="Arial" w:eastAsia="Times New Roman" w:hAnsi="Arial" w:cs="Arial"/>
          <w:color w:val="000000"/>
          <w:sz w:val="20"/>
          <w:szCs w:val="20"/>
          <w:lang w:eastAsia="en-IN"/>
        </w:rPr>
        <w:t xml:space="preserve"> </w:t>
      </w:r>
    </w:p>
    <w:p w:rsidR="0090662A" w:rsidRPr="007152D1" w:rsidRDefault="0090662A" w:rsidP="007152D1">
      <w:pPr>
        <w:spacing w:before="100" w:beforeAutospacing="1" w:after="100" w:afterAutospacing="1" w:line="240" w:lineRule="auto"/>
        <w:rPr>
          <w:rFonts w:ascii="Arial" w:eastAsia="Times New Roman" w:hAnsi="Arial" w:cs="Arial"/>
          <w:color w:val="000000"/>
          <w:sz w:val="20"/>
          <w:szCs w:val="20"/>
          <w:lang w:eastAsia="en-IN"/>
        </w:rPr>
      </w:pPr>
    </w:p>
    <w:p w:rsidR="007152D1" w:rsidRPr="00310DD8" w:rsidRDefault="007152D1" w:rsidP="00310DD8">
      <w:pPr>
        <w:spacing w:before="100" w:beforeAutospacing="1" w:after="100" w:afterAutospacing="1" w:line="240" w:lineRule="auto"/>
        <w:rPr>
          <w:rFonts w:ascii="Arial" w:eastAsia="Times New Roman" w:hAnsi="Arial" w:cs="Arial"/>
          <w:color w:val="000000"/>
          <w:sz w:val="20"/>
          <w:szCs w:val="20"/>
          <w:lang w:eastAsia="en-IN"/>
        </w:rPr>
      </w:pPr>
    </w:p>
    <w:p w:rsidR="00310DD8" w:rsidRPr="009214FA" w:rsidRDefault="00310DD8" w:rsidP="009214FA">
      <w:pPr>
        <w:spacing w:before="100" w:beforeAutospacing="1" w:after="100" w:afterAutospacing="1" w:line="240" w:lineRule="auto"/>
        <w:rPr>
          <w:rFonts w:ascii="Arial" w:eastAsia="Times New Roman" w:hAnsi="Arial" w:cs="Arial"/>
          <w:color w:val="000000"/>
          <w:sz w:val="20"/>
          <w:szCs w:val="20"/>
          <w:lang w:eastAsia="en-IN"/>
        </w:rPr>
      </w:pPr>
    </w:p>
    <w:p w:rsidR="009214FA" w:rsidRPr="00A94B11" w:rsidRDefault="009214FA" w:rsidP="00A94B11">
      <w:pPr>
        <w:spacing w:before="100" w:beforeAutospacing="1" w:after="100" w:afterAutospacing="1" w:line="240" w:lineRule="auto"/>
        <w:rPr>
          <w:rFonts w:ascii="Arial" w:eastAsia="Times New Roman" w:hAnsi="Arial" w:cs="Arial"/>
          <w:color w:val="000000"/>
          <w:sz w:val="20"/>
          <w:szCs w:val="20"/>
          <w:lang w:eastAsia="en-IN"/>
        </w:rPr>
      </w:pPr>
    </w:p>
    <w:p w:rsidR="00A94B11" w:rsidRPr="00F4215D" w:rsidRDefault="00A94B11" w:rsidP="00F4215D">
      <w:pPr>
        <w:spacing w:before="100" w:beforeAutospacing="1" w:after="100" w:afterAutospacing="1" w:line="240" w:lineRule="auto"/>
        <w:rPr>
          <w:rFonts w:ascii="Arial" w:eastAsia="Times New Roman" w:hAnsi="Arial" w:cs="Arial"/>
          <w:b/>
          <w:color w:val="000000"/>
          <w:sz w:val="20"/>
          <w:szCs w:val="20"/>
          <w:lang w:eastAsia="en-IN"/>
        </w:rPr>
      </w:pPr>
    </w:p>
    <w:p w:rsidR="00F4215D" w:rsidRPr="00F02067" w:rsidRDefault="00F4215D" w:rsidP="00F02067">
      <w:pPr>
        <w:spacing w:before="100" w:beforeAutospacing="1" w:after="100" w:afterAutospacing="1" w:line="240" w:lineRule="auto"/>
        <w:rPr>
          <w:rFonts w:ascii="Arial" w:eastAsia="Times New Roman" w:hAnsi="Arial" w:cs="Arial"/>
          <w:color w:val="000000"/>
          <w:sz w:val="20"/>
          <w:szCs w:val="20"/>
          <w:lang w:eastAsia="en-IN"/>
        </w:rPr>
      </w:pPr>
    </w:p>
    <w:p w:rsidR="009D578D" w:rsidRDefault="009D578D" w:rsidP="007410DB">
      <w:pPr>
        <w:pStyle w:val="NormalWeb"/>
        <w:rPr>
          <w:rFonts w:ascii="Arial" w:hAnsi="Arial" w:cs="Arial"/>
          <w:color w:val="000000"/>
          <w:sz w:val="20"/>
          <w:szCs w:val="20"/>
        </w:rPr>
      </w:pPr>
    </w:p>
    <w:p w:rsidR="005061D6" w:rsidRPr="00885D87" w:rsidRDefault="005061D6" w:rsidP="00885D87">
      <w:pPr>
        <w:spacing w:before="100" w:beforeAutospacing="1" w:after="100" w:afterAutospacing="1" w:line="240" w:lineRule="auto"/>
        <w:rPr>
          <w:rFonts w:ascii="Arial" w:eastAsia="Times New Roman" w:hAnsi="Arial" w:cs="Arial"/>
          <w:color w:val="000000"/>
          <w:sz w:val="20"/>
          <w:szCs w:val="20"/>
          <w:lang w:eastAsia="en-IN"/>
        </w:rPr>
      </w:pPr>
    </w:p>
    <w:p w:rsidR="00885D87" w:rsidRDefault="00885D87" w:rsidP="001A16F7">
      <w:pPr>
        <w:pStyle w:val="NormalWeb"/>
        <w:rPr>
          <w:rFonts w:ascii="Arial" w:hAnsi="Arial" w:cs="Arial"/>
          <w:color w:val="000000"/>
          <w:sz w:val="20"/>
          <w:szCs w:val="20"/>
        </w:rPr>
      </w:pPr>
    </w:p>
    <w:p w:rsidR="00914256" w:rsidRDefault="00914256"/>
    <w:p w:rsidR="00C662FA" w:rsidRDefault="00C662FA"/>
    <w:p w:rsidR="00C662FA" w:rsidRDefault="00C662FA"/>
    <w:p w:rsidR="00C662FA" w:rsidRDefault="00C662FA"/>
    <w:p w:rsidR="00C662FA" w:rsidRDefault="00C662FA"/>
    <w:p w:rsidR="00C662FA" w:rsidRDefault="00C662FA"/>
    <w:p w:rsidR="00C662FA" w:rsidRDefault="00C662FA"/>
    <w:p w:rsidR="00C662FA" w:rsidRDefault="00C662FA"/>
    <w:p w:rsidR="00C662FA" w:rsidRDefault="00C662FA"/>
    <w:p w:rsidR="00C662FA" w:rsidRDefault="00C662FA"/>
    <w:p w:rsidR="00C662FA" w:rsidRDefault="00C662FA"/>
    <w:p w:rsidR="00C662FA" w:rsidRDefault="00C662FA"/>
    <w:p w:rsidR="00C662FA" w:rsidRDefault="00C662FA"/>
    <w:p w:rsidR="00C662FA" w:rsidRDefault="00C662FA"/>
    <w:p w:rsidR="00FA5F54" w:rsidRDefault="00FA5F54"/>
    <w:p w:rsidR="00FA5F54" w:rsidRDefault="00FA5F54"/>
    <w:p w:rsidR="00FA5F54" w:rsidRDefault="00FA5F54"/>
    <w:p w:rsidR="00FA5F54" w:rsidRPr="00FA5F54" w:rsidRDefault="00FA5F54" w:rsidP="00FA5F54">
      <w:pPr>
        <w:pStyle w:val="head"/>
        <w:jc w:val="both"/>
        <w:rPr>
          <w:rFonts w:ascii="Arial" w:hAnsi="Arial" w:cs="Arial"/>
          <w:b/>
          <w:bCs/>
          <w:color w:val="000000"/>
          <w:sz w:val="20"/>
          <w:szCs w:val="20"/>
        </w:rPr>
      </w:pPr>
      <w:r>
        <w:rPr>
          <w:rFonts w:ascii="Arial" w:hAnsi="Arial" w:cs="Arial"/>
          <w:b/>
          <w:bCs/>
          <w:color w:val="000000"/>
          <w:sz w:val="20"/>
          <w:szCs w:val="20"/>
        </w:rPr>
        <w:lastRenderedPageBreak/>
        <w:t>Voluntary transition of Small Finance Banks to Universal Banks</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RBI/2024-25/28</w:t>
      </w:r>
      <w:r>
        <w:rPr>
          <w:rFonts w:ascii="Arial" w:hAnsi="Arial" w:cs="Arial"/>
          <w:color w:val="000000"/>
          <w:sz w:val="20"/>
          <w:szCs w:val="20"/>
        </w:rPr>
        <w:br/>
        <w:t>DOR.LIC.REC.20/16.13.218/2024-25</w:t>
      </w:r>
    </w:p>
    <w:p w:rsidR="00FA5F54" w:rsidRDefault="00FA5F54" w:rsidP="00FA5F54">
      <w:pPr>
        <w:pStyle w:val="NormalWeb"/>
        <w:jc w:val="right"/>
        <w:rPr>
          <w:rFonts w:ascii="Arial" w:hAnsi="Arial" w:cs="Arial"/>
          <w:color w:val="000000"/>
          <w:sz w:val="20"/>
          <w:szCs w:val="20"/>
        </w:rPr>
      </w:pPr>
      <w:r>
        <w:rPr>
          <w:rFonts w:ascii="Arial" w:hAnsi="Arial" w:cs="Arial"/>
          <w:color w:val="000000"/>
          <w:sz w:val="20"/>
          <w:szCs w:val="20"/>
        </w:rPr>
        <w:t>April 26, 2024</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All Small Finance Banks</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Madam/ Dear Sir,</w:t>
      </w:r>
    </w:p>
    <w:p w:rsidR="00FA5F54" w:rsidRDefault="00FA5F54" w:rsidP="00FA5F54">
      <w:pPr>
        <w:pStyle w:val="head"/>
        <w:jc w:val="both"/>
        <w:rPr>
          <w:rFonts w:ascii="Arial" w:hAnsi="Arial" w:cs="Arial"/>
          <w:b/>
          <w:bCs/>
          <w:color w:val="000000"/>
          <w:sz w:val="20"/>
          <w:szCs w:val="20"/>
        </w:rPr>
      </w:pPr>
      <w:r>
        <w:rPr>
          <w:rFonts w:ascii="Arial" w:hAnsi="Arial" w:cs="Arial"/>
          <w:b/>
          <w:bCs/>
          <w:color w:val="000000"/>
          <w:sz w:val="20"/>
          <w:szCs w:val="20"/>
        </w:rPr>
        <w:t>Voluntary transition of Small Finance Banks to Universal Banks</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Please refer to Paragraph 14 of the </w:t>
      </w:r>
      <w:hyperlink r:id="rId59" w:tgtFrame="_blank" w:history="1">
        <w:r>
          <w:rPr>
            <w:rStyle w:val="Hyperlink"/>
            <w:rFonts w:ascii="Arial" w:hAnsi="Arial" w:cs="Arial"/>
            <w:sz w:val="20"/>
            <w:szCs w:val="20"/>
            <w:u w:val="none"/>
          </w:rPr>
          <w:t>“Guidelines for ‘on-tap’ Licensing of Small Finance Banks in Private Sector” dated December 5, 2019</w:t>
        </w:r>
      </w:hyperlink>
      <w:r>
        <w:rPr>
          <w:rFonts w:ascii="Arial" w:hAnsi="Arial" w:cs="Arial"/>
          <w:color w:val="000000"/>
          <w:sz w:val="20"/>
          <w:szCs w:val="20"/>
        </w:rPr>
        <w:t xml:space="preserve">, which provides a transition path for Small Finance Banks (SFBs) to convert into Universal Banks. Such conversion shall be subject to the SFB’s fulfilling minimum paid-up capital/ net worth requirement as applicable to Universal Banks, satisfactory </w:t>
      </w:r>
      <w:proofErr w:type="gramStart"/>
      <w:r>
        <w:rPr>
          <w:rFonts w:ascii="Arial" w:hAnsi="Arial" w:cs="Arial"/>
          <w:color w:val="000000"/>
          <w:sz w:val="20"/>
          <w:szCs w:val="20"/>
        </w:rPr>
        <w:t>track record</w:t>
      </w:r>
      <w:proofErr w:type="gramEnd"/>
      <w:r>
        <w:rPr>
          <w:rFonts w:ascii="Arial" w:hAnsi="Arial" w:cs="Arial"/>
          <w:color w:val="000000"/>
          <w:sz w:val="20"/>
          <w:szCs w:val="20"/>
        </w:rPr>
        <w:t xml:space="preserve"> of performance as an SFB for a minimum period of five years and RBI’s due diligence exercise.</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22 (1) of the Banking Regulation Act, 1949.</w:t>
      </w:r>
    </w:p>
    <w:p w:rsidR="00FA5F54" w:rsidRDefault="00FA5F54" w:rsidP="00FA5F54">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FA5F54" w:rsidRDefault="00FA5F54" w:rsidP="00FA5F54">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4. This circular is applicable to all Small Finance Banks.</w:t>
      </w:r>
    </w:p>
    <w:p w:rsidR="00FA5F54" w:rsidRDefault="00FA5F54" w:rsidP="00FA5F54">
      <w:pPr>
        <w:pStyle w:val="head"/>
        <w:jc w:val="both"/>
        <w:rPr>
          <w:rFonts w:ascii="Arial" w:hAnsi="Arial" w:cs="Arial"/>
          <w:b/>
          <w:bCs/>
          <w:color w:val="000000"/>
          <w:sz w:val="20"/>
          <w:szCs w:val="20"/>
        </w:rPr>
      </w:pPr>
      <w:r>
        <w:rPr>
          <w:rFonts w:ascii="Arial" w:hAnsi="Arial" w:cs="Arial"/>
          <w:b/>
          <w:bCs/>
          <w:color w:val="000000"/>
          <w:sz w:val="20"/>
          <w:szCs w:val="20"/>
        </w:rPr>
        <w:t>Provisions</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5. With the objective of bringing better clarity, the eligibility criteria for an SFB to transition into a Universal bank will now be as follows:</w:t>
      </w:r>
    </w:p>
    <w:p w:rsidR="00FA5F54" w:rsidRDefault="00FA5F54" w:rsidP="00FA5F54">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scheduled status with a satisfactory track record of performance for a minimum period of five years;</w:t>
      </w:r>
    </w:p>
    <w:p w:rsidR="00FA5F54" w:rsidRDefault="00FA5F54" w:rsidP="00FA5F54">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shares of the bank should have been listed on a recognised stock exchange;</w:t>
      </w:r>
    </w:p>
    <w:p w:rsidR="00FA5F54" w:rsidRDefault="00FA5F54" w:rsidP="00FA5F54">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having a minimum net worth of ₹1,000 crore as at the end of the previous quarter (audited);</w:t>
      </w:r>
    </w:p>
    <w:p w:rsidR="00FA5F54" w:rsidRDefault="00FA5F54" w:rsidP="00FA5F54">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meeting the prescribed CRAR requirements for SFBs;</w:t>
      </w:r>
    </w:p>
    <w:p w:rsidR="00FA5F54" w:rsidRDefault="00FA5F54" w:rsidP="00FA5F54">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having a net profit in the last two financial years; and</w:t>
      </w:r>
    </w:p>
    <w:p w:rsidR="00FA5F54" w:rsidRDefault="00FA5F54" w:rsidP="00FA5F54">
      <w:pPr>
        <w:pStyle w:val="NormalWeb"/>
        <w:numPr>
          <w:ilvl w:val="0"/>
          <w:numId w:val="7"/>
        </w:numPr>
        <w:ind w:left="0"/>
        <w:jc w:val="both"/>
        <w:rPr>
          <w:rFonts w:ascii="Arial" w:hAnsi="Arial" w:cs="Arial"/>
          <w:color w:val="000000"/>
          <w:sz w:val="20"/>
          <w:szCs w:val="20"/>
        </w:rPr>
      </w:pPr>
      <w:proofErr w:type="gramStart"/>
      <w:r>
        <w:rPr>
          <w:rFonts w:ascii="Arial" w:hAnsi="Arial" w:cs="Arial"/>
          <w:color w:val="000000"/>
          <w:sz w:val="20"/>
          <w:szCs w:val="20"/>
        </w:rPr>
        <w:t>having</w:t>
      </w:r>
      <w:proofErr w:type="gramEnd"/>
      <w:r>
        <w:rPr>
          <w:rFonts w:ascii="Arial" w:hAnsi="Arial" w:cs="Arial"/>
          <w:color w:val="000000"/>
          <w:sz w:val="20"/>
          <w:szCs w:val="20"/>
        </w:rPr>
        <w:t xml:space="preserve"> GNPA and NNPA of less than or equal to 3 percent and 1 percent respectively in the last two financial years.</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6. The following conditions shall be applicable with regard to shareholding pattern:</w:t>
      </w:r>
    </w:p>
    <w:p w:rsidR="00FA5F54" w:rsidRDefault="00FA5F54" w:rsidP="00FA5F54">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There is no mandatory requirement for an eligible SFB to have an identified promoter. However, the existing promoters of the eligible SFB, if any, shall continue as the promoters on transition to Universal Bank.</w:t>
      </w:r>
    </w:p>
    <w:p w:rsidR="00FA5F54" w:rsidRDefault="00FA5F54" w:rsidP="00FA5F54">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 xml:space="preserve">Addition of new promoters or change in promoters </w:t>
      </w:r>
      <w:proofErr w:type="gramStart"/>
      <w:r>
        <w:rPr>
          <w:rFonts w:ascii="Arial" w:hAnsi="Arial" w:cs="Arial"/>
          <w:color w:val="000000"/>
          <w:sz w:val="20"/>
          <w:szCs w:val="20"/>
        </w:rPr>
        <w:t>shall not be permitted</w:t>
      </w:r>
      <w:proofErr w:type="gramEnd"/>
      <w:r>
        <w:rPr>
          <w:rFonts w:ascii="Arial" w:hAnsi="Arial" w:cs="Arial"/>
          <w:color w:val="000000"/>
          <w:sz w:val="20"/>
          <w:szCs w:val="20"/>
        </w:rPr>
        <w:t xml:space="preserve"> for an eligible SFB while transitioning to Universal Bank.</w:t>
      </w:r>
    </w:p>
    <w:p w:rsidR="00FA5F54" w:rsidRDefault="00FA5F54" w:rsidP="00FA5F54">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There shall be no new mandatory lock-in requirement of minimum shareholding for existing promoters in the transitioned Universal Bank.</w:t>
      </w:r>
    </w:p>
    <w:p w:rsidR="00FA5F54" w:rsidRDefault="00FA5F54" w:rsidP="00FA5F54">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 xml:space="preserve">There shall be no change to the </w:t>
      </w:r>
      <w:proofErr w:type="gramStart"/>
      <w:r>
        <w:rPr>
          <w:rFonts w:ascii="Arial" w:hAnsi="Arial" w:cs="Arial"/>
          <w:color w:val="000000"/>
          <w:sz w:val="20"/>
          <w:szCs w:val="20"/>
        </w:rPr>
        <w:t>promoter shareholding dilution plan</w:t>
      </w:r>
      <w:proofErr w:type="gramEnd"/>
      <w:r>
        <w:rPr>
          <w:rFonts w:ascii="Arial" w:hAnsi="Arial" w:cs="Arial"/>
          <w:color w:val="000000"/>
          <w:sz w:val="20"/>
          <w:szCs w:val="20"/>
        </w:rPr>
        <w:t xml:space="preserve"> already approved by the Reserve Bank.</w:t>
      </w:r>
    </w:p>
    <w:p w:rsidR="00FA5F54" w:rsidRDefault="00FA5F54" w:rsidP="00FA5F54">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The eligible SFBs having diversified loan portfolio will be preferred.</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lastRenderedPageBreak/>
        <w:t xml:space="preserve">7. The eligible SFB shall be required to furnish a detailed rationale for such transition. </w:t>
      </w:r>
      <w:proofErr w:type="gramStart"/>
      <w:r>
        <w:rPr>
          <w:rFonts w:ascii="Arial" w:hAnsi="Arial" w:cs="Arial"/>
          <w:color w:val="000000"/>
          <w:sz w:val="20"/>
          <w:szCs w:val="20"/>
        </w:rPr>
        <w:t>The application for transition from SFB to Universal Bank shall be assessed in accordance with the </w:t>
      </w:r>
      <w:hyperlink r:id="rId60" w:tgtFrame="_blank" w:history="1">
        <w:r>
          <w:rPr>
            <w:rStyle w:val="Hyperlink"/>
            <w:rFonts w:ascii="Arial" w:hAnsi="Arial" w:cs="Arial"/>
            <w:sz w:val="20"/>
            <w:szCs w:val="20"/>
            <w:u w:val="none"/>
          </w:rPr>
          <w:t>Guidelines for ‘on tap’ Licensing of Universal Banks in the Private Sector dated August 1, 2016</w:t>
        </w:r>
      </w:hyperlink>
      <w:r>
        <w:rPr>
          <w:rFonts w:ascii="Arial" w:hAnsi="Arial" w:cs="Arial"/>
          <w:color w:val="000000"/>
          <w:sz w:val="20"/>
          <w:szCs w:val="20"/>
        </w:rPr>
        <w:t>, as applicable, and </w:t>
      </w:r>
      <w:hyperlink r:id="rId61" w:tgtFrame="_blank" w:history="1">
        <w:r>
          <w:rPr>
            <w:rStyle w:val="Hyperlink"/>
            <w:rFonts w:ascii="Arial" w:hAnsi="Arial" w:cs="Arial"/>
            <w:sz w:val="20"/>
            <w:szCs w:val="20"/>
            <w:u w:val="none"/>
          </w:rPr>
          <w:t>Reserve Bank of India (Acquisition and Holding of Shares or Voting Rights in Banking Companies) Directions, 2023 dated January 16, 2023</w:t>
        </w:r>
      </w:hyperlink>
      <w:r>
        <w:rPr>
          <w:rFonts w:ascii="Arial" w:hAnsi="Arial" w:cs="Arial"/>
          <w:color w:val="000000"/>
          <w:sz w:val="20"/>
          <w:szCs w:val="20"/>
        </w:rPr>
        <w:t>, as amended from time to time.</w:t>
      </w:r>
      <w:proofErr w:type="gramEnd"/>
      <w:r>
        <w:rPr>
          <w:rFonts w:ascii="Arial" w:hAnsi="Arial" w:cs="Arial"/>
          <w:color w:val="000000"/>
          <w:sz w:val="20"/>
          <w:szCs w:val="20"/>
        </w:rPr>
        <w:t xml:space="preserve"> Further, on transition the bank </w:t>
      </w:r>
      <w:proofErr w:type="gramStart"/>
      <w:r>
        <w:rPr>
          <w:rFonts w:ascii="Arial" w:hAnsi="Arial" w:cs="Arial"/>
          <w:color w:val="000000"/>
          <w:sz w:val="20"/>
          <w:szCs w:val="20"/>
        </w:rPr>
        <w:t>will be subjected</w:t>
      </w:r>
      <w:proofErr w:type="gramEnd"/>
      <w:r>
        <w:rPr>
          <w:rFonts w:ascii="Arial" w:hAnsi="Arial" w:cs="Arial"/>
          <w:color w:val="000000"/>
          <w:sz w:val="20"/>
          <w:szCs w:val="20"/>
        </w:rPr>
        <w:t xml:space="preserve"> to all the norms including NOFHC structure (as applicable) as per the said Guidelines.</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 xml:space="preserve">8. The eligible SFB may submit its application for transition to Universal Bank, in the prescribed form (Form III) in terms of Rule 11 of the Banking Regulation (Companies) Rules, 1949, along with other requisite documents, to Department of Regulation, Reserve Bank of India, Central Office, 12th Floor, Central Office Building, </w:t>
      </w:r>
      <w:proofErr w:type="spellStart"/>
      <w:r>
        <w:rPr>
          <w:rFonts w:ascii="Arial" w:hAnsi="Arial" w:cs="Arial"/>
          <w:color w:val="000000"/>
          <w:sz w:val="20"/>
          <w:szCs w:val="20"/>
        </w:rPr>
        <w:t>Shahid</w:t>
      </w:r>
      <w:proofErr w:type="spellEnd"/>
      <w:r>
        <w:rPr>
          <w:rFonts w:ascii="Arial" w:hAnsi="Arial" w:cs="Arial"/>
          <w:color w:val="000000"/>
          <w:sz w:val="20"/>
          <w:szCs w:val="20"/>
        </w:rPr>
        <w:t xml:space="preserve"> </w:t>
      </w:r>
      <w:proofErr w:type="spellStart"/>
      <w:r>
        <w:rPr>
          <w:rFonts w:ascii="Arial" w:hAnsi="Arial" w:cs="Arial"/>
          <w:color w:val="000000"/>
          <w:sz w:val="20"/>
          <w:szCs w:val="20"/>
        </w:rPr>
        <w:t>Bhagat</w:t>
      </w:r>
      <w:proofErr w:type="spellEnd"/>
      <w:r>
        <w:rPr>
          <w:rFonts w:ascii="Arial" w:hAnsi="Arial" w:cs="Arial"/>
          <w:color w:val="000000"/>
          <w:sz w:val="20"/>
          <w:szCs w:val="20"/>
        </w:rPr>
        <w:t xml:space="preserve"> Singh Road, Mumbai - 400001.</w:t>
      </w:r>
    </w:p>
    <w:p w:rsidR="00FA5F54" w:rsidRDefault="00FA5F54" w:rsidP="00FA5F54">
      <w:pPr>
        <w:pStyle w:val="NormalWeb"/>
        <w:jc w:val="both"/>
        <w:rPr>
          <w:rFonts w:ascii="Arial" w:hAnsi="Arial" w:cs="Arial"/>
          <w:color w:val="000000"/>
          <w:sz w:val="20"/>
          <w:szCs w:val="20"/>
        </w:rPr>
      </w:pPr>
      <w:r>
        <w:rPr>
          <w:rFonts w:ascii="Arial" w:hAnsi="Arial" w:cs="Arial"/>
          <w:color w:val="000000"/>
          <w:sz w:val="20"/>
          <w:szCs w:val="20"/>
        </w:rPr>
        <w:t>Yours faithfully,</w:t>
      </w:r>
    </w:p>
    <w:p w:rsidR="00FA5F54" w:rsidRDefault="00FA5F54" w:rsidP="00FA5F54">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FA5F54" w:rsidRDefault="00FA5F54" w:rsidP="00FA5F54">
      <w:pPr>
        <w:pStyle w:val="NormalWeb"/>
      </w:pPr>
      <w:r w:rsidRPr="00FA5F54">
        <w:rPr>
          <w:rFonts w:ascii="Arial" w:hAnsi="Arial" w:cs="Arial"/>
          <w:color w:val="000000"/>
          <w:sz w:val="20"/>
          <w:szCs w:val="20"/>
        </w:rPr>
        <w:t>For more details, kindly refer:</w:t>
      </w:r>
      <w:r w:rsidRPr="00FA5F54">
        <w:t xml:space="preserve"> </w:t>
      </w:r>
    </w:p>
    <w:p w:rsidR="00FA5F54" w:rsidRDefault="00FA5F54" w:rsidP="00FA5F54">
      <w:pPr>
        <w:pStyle w:val="NormalWeb"/>
        <w:rPr>
          <w:rFonts w:ascii="Arial" w:hAnsi="Arial" w:cs="Arial"/>
          <w:color w:val="000000"/>
          <w:sz w:val="20"/>
          <w:szCs w:val="20"/>
        </w:rPr>
      </w:pPr>
      <w:hyperlink r:id="rId62" w:history="1">
        <w:r w:rsidRPr="00692C03">
          <w:rPr>
            <w:rStyle w:val="Hyperlink"/>
            <w:rFonts w:ascii="Arial" w:hAnsi="Arial" w:cs="Arial"/>
            <w:sz w:val="20"/>
            <w:szCs w:val="20"/>
          </w:rPr>
          <w:t>https://www.rbi.org.in/Scripts/NotificationUser.aspx?Id=12676&amp;Mode=0</w:t>
        </w:r>
      </w:hyperlink>
      <w:r>
        <w:rPr>
          <w:rFonts w:ascii="Arial" w:hAnsi="Arial" w:cs="Arial"/>
          <w:color w:val="000000"/>
          <w:sz w:val="20"/>
          <w:szCs w:val="20"/>
        </w:rPr>
        <w:t xml:space="preserve"> </w:t>
      </w:r>
    </w:p>
    <w:p w:rsidR="00FA5F54" w:rsidRDefault="00FA5F54"/>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Default="00163CFD"/>
    <w:p w:rsidR="00163CFD" w:rsidRPr="00163CFD" w:rsidRDefault="00163CFD" w:rsidP="00163CFD">
      <w:pPr>
        <w:pStyle w:val="head"/>
        <w:jc w:val="both"/>
        <w:rPr>
          <w:rFonts w:ascii="Arial" w:hAnsi="Arial" w:cs="Arial"/>
          <w:b/>
          <w:bCs/>
          <w:color w:val="000000"/>
          <w:sz w:val="20"/>
          <w:szCs w:val="20"/>
        </w:rPr>
      </w:pPr>
      <w:r>
        <w:rPr>
          <w:rFonts w:ascii="Arial" w:hAnsi="Arial" w:cs="Arial"/>
          <w:b/>
          <w:bCs/>
          <w:color w:val="000000"/>
          <w:sz w:val="20"/>
          <w:szCs w:val="20"/>
          <w:u w:val="single"/>
        </w:rPr>
        <w:lastRenderedPageBreak/>
        <w:t>Fair Practices Code for Lenders – Charging of Interest</w:t>
      </w:r>
    </w:p>
    <w:p w:rsidR="00163CFD" w:rsidRDefault="00163CFD" w:rsidP="00163CFD">
      <w:pPr>
        <w:pStyle w:val="NormalWeb"/>
        <w:jc w:val="both"/>
        <w:rPr>
          <w:rFonts w:ascii="Arial" w:hAnsi="Arial" w:cs="Arial"/>
          <w:color w:val="000000"/>
          <w:sz w:val="20"/>
          <w:szCs w:val="20"/>
        </w:rPr>
      </w:pPr>
      <w:r>
        <w:rPr>
          <w:rFonts w:ascii="Arial" w:hAnsi="Arial" w:cs="Arial"/>
          <w:color w:val="000000"/>
          <w:sz w:val="20"/>
          <w:szCs w:val="20"/>
        </w:rPr>
        <w:t>RBI/2024-25/30</w:t>
      </w:r>
      <w:r>
        <w:rPr>
          <w:rFonts w:ascii="Arial" w:hAnsi="Arial" w:cs="Arial"/>
          <w:color w:val="000000"/>
          <w:sz w:val="20"/>
          <w:szCs w:val="20"/>
        </w:rPr>
        <w:br/>
        <w:t>DoS.CO.PPG.SEC.1/11.01.005/2024-25</w:t>
      </w:r>
    </w:p>
    <w:p w:rsidR="00163CFD" w:rsidRDefault="00163CFD" w:rsidP="00163CFD">
      <w:pPr>
        <w:pStyle w:val="NormalWeb"/>
        <w:jc w:val="right"/>
        <w:rPr>
          <w:rFonts w:ascii="Arial" w:hAnsi="Arial" w:cs="Arial"/>
          <w:color w:val="000000"/>
          <w:sz w:val="20"/>
          <w:szCs w:val="20"/>
        </w:rPr>
      </w:pPr>
      <w:r>
        <w:rPr>
          <w:rFonts w:ascii="Arial" w:hAnsi="Arial" w:cs="Arial"/>
          <w:color w:val="000000"/>
          <w:sz w:val="20"/>
          <w:szCs w:val="20"/>
        </w:rPr>
        <w:t>April 29, 2024</w:t>
      </w:r>
    </w:p>
    <w:p w:rsidR="00163CFD" w:rsidRDefault="00163CFD" w:rsidP="00163CFD">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 State Co-operative Banks/</w:t>
      </w:r>
      <w:r>
        <w:rPr>
          <w:rFonts w:ascii="Arial" w:hAnsi="Arial" w:cs="Arial"/>
          <w:color w:val="000000"/>
          <w:sz w:val="20"/>
          <w:szCs w:val="20"/>
        </w:rPr>
        <w:br/>
        <w:t>District Central Co-operative Banks</w:t>
      </w:r>
      <w:r>
        <w:rPr>
          <w:rFonts w:ascii="Arial" w:hAnsi="Arial" w:cs="Arial"/>
          <w:color w:val="000000"/>
          <w:sz w:val="20"/>
          <w:szCs w:val="20"/>
        </w:rPr>
        <w:br/>
        <w:t>All Non-Banking Financial Companies (including Microfinance Institutions and Housing Finance Companies)</w:t>
      </w:r>
    </w:p>
    <w:p w:rsidR="00163CFD" w:rsidRDefault="00163CFD" w:rsidP="00163CFD">
      <w:pPr>
        <w:pStyle w:val="NormalWeb"/>
        <w:jc w:val="both"/>
        <w:rPr>
          <w:rFonts w:ascii="Arial" w:hAnsi="Arial" w:cs="Arial"/>
          <w:color w:val="000000"/>
          <w:sz w:val="20"/>
          <w:szCs w:val="20"/>
        </w:rPr>
      </w:pPr>
      <w:r>
        <w:rPr>
          <w:rFonts w:ascii="Arial" w:hAnsi="Arial" w:cs="Arial"/>
          <w:color w:val="000000"/>
          <w:sz w:val="20"/>
          <w:szCs w:val="20"/>
        </w:rPr>
        <w:t>Madam / Dear Sir,</w:t>
      </w:r>
    </w:p>
    <w:p w:rsidR="00163CFD" w:rsidRDefault="00163CFD" w:rsidP="00163CFD">
      <w:pPr>
        <w:pStyle w:val="head"/>
        <w:jc w:val="both"/>
        <w:rPr>
          <w:rFonts w:ascii="Arial" w:hAnsi="Arial" w:cs="Arial"/>
          <w:b/>
          <w:bCs/>
          <w:color w:val="000000"/>
          <w:sz w:val="20"/>
          <w:szCs w:val="20"/>
        </w:rPr>
      </w:pPr>
      <w:r>
        <w:rPr>
          <w:rFonts w:ascii="Arial" w:hAnsi="Arial" w:cs="Arial"/>
          <w:b/>
          <w:bCs/>
          <w:color w:val="000000"/>
          <w:sz w:val="20"/>
          <w:szCs w:val="20"/>
          <w:u w:val="single"/>
        </w:rPr>
        <w:t>Fair Practices Code for Lenders – Charging of Interest</w:t>
      </w:r>
    </w:p>
    <w:p w:rsidR="00163CFD" w:rsidRDefault="00163CFD" w:rsidP="00163CFD">
      <w:pPr>
        <w:pStyle w:val="NormalWeb"/>
        <w:jc w:val="both"/>
        <w:rPr>
          <w:rFonts w:ascii="Arial" w:hAnsi="Arial" w:cs="Arial"/>
          <w:color w:val="000000"/>
          <w:sz w:val="20"/>
          <w:szCs w:val="20"/>
        </w:rPr>
      </w:pPr>
      <w:r>
        <w:rPr>
          <w:rFonts w:ascii="Arial" w:hAnsi="Arial" w:cs="Arial"/>
          <w:color w:val="000000"/>
          <w:sz w:val="20"/>
          <w:szCs w:val="20"/>
        </w:rPr>
        <w:t>The guidelines on Fair Practices Code issued to various Regulated Entities (REs) since 2003, inter-alia, advocate fairness and transparency in charging of interest by the lenders, while providing adequate freedom to REs as regards their loan pricing policy.</w:t>
      </w:r>
    </w:p>
    <w:p w:rsidR="00163CFD" w:rsidRDefault="00163CFD" w:rsidP="00163CFD">
      <w:pPr>
        <w:pStyle w:val="NormalWeb"/>
        <w:jc w:val="both"/>
        <w:rPr>
          <w:rFonts w:ascii="Arial" w:hAnsi="Arial" w:cs="Arial"/>
          <w:color w:val="000000"/>
          <w:sz w:val="20"/>
          <w:szCs w:val="20"/>
        </w:rPr>
      </w:pPr>
      <w:r>
        <w:rPr>
          <w:rFonts w:ascii="Arial" w:hAnsi="Arial" w:cs="Arial"/>
          <w:color w:val="000000"/>
          <w:sz w:val="20"/>
          <w:szCs w:val="20"/>
        </w:rPr>
        <w:t xml:space="preserve">2. During the course of the onsite examination of REs for the period ended March 31, 2023, the Reserve Bank came across instances of lenders resorting to certain unfair practices in charging of interest. Some of the unfair practices observed </w:t>
      </w:r>
      <w:proofErr w:type="gramStart"/>
      <w:r>
        <w:rPr>
          <w:rFonts w:ascii="Arial" w:hAnsi="Arial" w:cs="Arial"/>
          <w:color w:val="000000"/>
          <w:sz w:val="20"/>
          <w:szCs w:val="20"/>
        </w:rPr>
        <w:t>are briefly explained</w:t>
      </w:r>
      <w:proofErr w:type="gramEnd"/>
      <w:r>
        <w:rPr>
          <w:rFonts w:ascii="Arial" w:hAnsi="Arial" w:cs="Arial"/>
          <w:color w:val="000000"/>
          <w:sz w:val="20"/>
          <w:szCs w:val="20"/>
        </w:rPr>
        <w:t xml:space="preserve"> below:</w:t>
      </w:r>
    </w:p>
    <w:p w:rsidR="00163CFD" w:rsidRDefault="00163CFD" w:rsidP="00163CFD">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 xml:space="preserve">Charging of interest from the date of sanction of loan or date of execution of loan agreement and not from the date of actual disbursement of the funds to the customer. Similarly, in the case of loans </w:t>
      </w:r>
      <w:proofErr w:type="gramStart"/>
      <w:r>
        <w:rPr>
          <w:rFonts w:ascii="Arial" w:hAnsi="Arial" w:cs="Arial"/>
          <w:color w:val="000000"/>
          <w:sz w:val="20"/>
          <w:szCs w:val="20"/>
        </w:rPr>
        <w:t>being disbursed</w:t>
      </w:r>
      <w:proofErr w:type="gramEnd"/>
      <w:r>
        <w:rPr>
          <w:rFonts w:ascii="Arial" w:hAnsi="Arial" w:cs="Arial"/>
          <w:color w:val="000000"/>
          <w:sz w:val="20"/>
          <w:szCs w:val="20"/>
        </w:rPr>
        <w:t xml:space="preserve"> by cheque, instances were observed where interest was charged from the date of the cheque whereas the cheque was handed over to the customer several days later.</w:t>
      </w:r>
    </w:p>
    <w:p w:rsidR="00163CFD" w:rsidRDefault="00163CFD" w:rsidP="00163CFD">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In the case of disbursal or repayment of loans during the course of the month, some REs were charging interest for the entire month, rather than charging interest only for the period for which the loan was outstanding.</w:t>
      </w:r>
    </w:p>
    <w:p w:rsidR="00163CFD" w:rsidRDefault="00163CFD" w:rsidP="00163CFD">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 xml:space="preserve">In some cases, it </w:t>
      </w:r>
      <w:proofErr w:type="gramStart"/>
      <w:r>
        <w:rPr>
          <w:rFonts w:ascii="Arial" w:hAnsi="Arial" w:cs="Arial"/>
          <w:color w:val="000000"/>
          <w:sz w:val="20"/>
          <w:szCs w:val="20"/>
        </w:rPr>
        <w:t>was observed</w:t>
      </w:r>
      <w:proofErr w:type="gramEnd"/>
      <w:r>
        <w:rPr>
          <w:rFonts w:ascii="Arial" w:hAnsi="Arial" w:cs="Arial"/>
          <w:color w:val="000000"/>
          <w:sz w:val="20"/>
          <w:szCs w:val="20"/>
        </w:rPr>
        <w:t xml:space="preserve"> that REs were collecting one or more instalments in advance but reckoning the full loan amount for charging interest.</w:t>
      </w:r>
    </w:p>
    <w:p w:rsidR="00163CFD" w:rsidRDefault="00163CFD" w:rsidP="00163CFD">
      <w:pPr>
        <w:pStyle w:val="NormalWeb"/>
        <w:jc w:val="both"/>
        <w:rPr>
          <w:rFonts w:ascii="Arial" w:hAnsi="Arial" w:cs="Arial"/>
          <w:color w:val="000000"/>
          <w:sz w:val="20"/>
          <w:szCs w:val="20"/>
        </w:rPr>
      </w:pPr>
      <w:r>
        <w:rPr>
          <w:rFonts w:ascii="Arial" w:hAnsi="Arial" w:cs="Arial"/>
          <w:color w:val="000000"/>
          <w:sz w:val="20"/>
          <w:szCs w:val="20"/>
        </w:rPr>
        <w:t xml:space="preserve">3. These and other such non-standard practices of charging interest are not in consonance with the spirit of fairness and transparency while dealing with customers. These are matters of serious concern to the Reserve Bank. Wherever such practices have </w:t>
      </w:r>
      <w:proofErr w:type="gramStart"/>
      <w:r>
        <w:rPr>
          <w:rFonts w:ascii="Arial" w:hAnsi="Arial" w:cs="Arial"/>
          <w:color w:val="000000"/>
          <w:sz w:val="20"/>
          <w:szCs w:val="20"/>
        </w:rPr>
        <w:t>come to light</w:t>
      </w:r>
      <w:proofErr w:type="gramEnd"/>
      <w:r>
        <w:rPr>
          <w:rFonts w:ascii="Arial" w:hAnsi="Arial" w:cs="Arial"/>
          <w:color w:val="000000"/>
          <w:sz w:val="20"/>
          <w:szCs w:val="20"/>
        </w:rPr>
        <w:t xml:space="preserve">, RBI through its supervisory teams has advised REs to refund such excess interest and other charges to customers. REs are also being encouraged to use online account transfers in lieu of cheques </w:t>
      </w:r>
      <w:proofErr w:type="gramStart"/>
      <w:r>
        <w:rPr>
          <w:rFonts w:ascii="Arial" w:hAnsi="Arial" w:cs="Arial"/>
          <w:color w:val="000000"/>
          <w:sz w:val="20"/>
          <w:szCs w:val="20"/>
        </w:rPr>
        <w:t>being issued</w:t>
      </w:r>
      <w:proofErr w:type="gramEnd"/>
      <w:r>
        <w:rPr>
          <w:rFonts w:ascii="Arial" w:hAnsi="Arial" w:cs="Arial"/>
          <w:color w:val="000000"/>
          <w:sz w:val="20"/>
          <w:szCs w:val="20"/>
        </w:rPr>
        <w:t xml:space="preserve"> in a few cases for loan disbursal.</w:t>
      </w:r>
    </w:p>
    <w:p w:rsidR="00163CFD" w:rsidRDefault="00163CFD" w:rsidP="00163CFD">
      <w:pPr>
        <w:pStyle w:val="NormalWeb"/>
        <w:jc w:val="both"/>
        <w:rPr>
          <w:rFonts w:ascii="Arial" w:hAnsi="Arial" w:cs="Arial"/>
          <w:color w:val="000000"/>
          <w:sz w:val="20"/>
          <w:szCs w:val="20"/>
        </w:rPr>
      </w:pPr>
      <w:r>
        <w:rPr>
          <w:rFonts w:ascii="Arial" w:hAnsi="Arial" w:cs="Arial"/>
          <w:color w:val="000000"/>
          <w:sz w:val="20"/>
          <w:szCs w:val="20"/>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163CFD" w:rsidRDefault="00163CFD" w:rsidP="00163CFD">
      <w:pPr>
        <w:pStyle w:val="NormalWeb"/>
        <w:jc w:val="both"/>
        <w:rPr>
          <w:rFonts w:ascii="Arial" w:hAnsi="Arial" w:cs="Arial"/>
          <w:color w:val="000000"/>
          <w:sz w:val="20"/>
          <w:szCs w:val="20"/>
        </w:rPr>
      </w:pPr>
      <w:r>
        <w:rPr>
          <w:rFonts w:ascii="Arial" w:hAnsi="Arial" w:cs="Arial"/>
          <w:color w:val="000000"/>
          <w:sz w:val="20"/>
          <w:szCs w:val="20"/>
        </w:rPr>
        <w:t>5. This circular takes immediate effect.</w:t>
      </w:r>
    </w:p>
    <w:p w:rsidR="00163CFD" w:rsidRDefault="00163CFD" w:rsidP="00163CFD">
      <w:pPr>
        <w:pStyle w:val="NormalWeb"/>
        <w:jc w:val="both"/>
        <w:rPr>
          <w:rFonts w:ascii="Arial" w:hAnsi="Arial" w:cs="Arial"/>
          <w:color w:val="000000"/>
          <w:sz w:val="20"/>
          <w:szCs w:val="20"/>
        </w:rPr>
      </w:pPr>
      <w:r>
        <w:rPr>
          <w:rFonts w:ascii="Arial" w:hAnsi="Arial" w:cs="Arial"/>
          <w:color w:val="000000"/>
          <w:sz w:val="20"/>
          <w:szCs w:val="20"/>
        </w:rPr>
        <w:t>Yours faithfully,</w:t>
      </w:r>
    </w:p>
    <w:p w:rsidR="00163CFD" w:rsidRDefault="00163CFD" w:rsidP="00163CFD">
      <w:pPr>
        <w:pStyle w:val="NormalWeb"/>
        <w:rPr>
          <w:rFonts w:ascii="Arial" w:hAnsi="Arial" w:cs="Arial"/>
          <w:color w:val="000000"/>
          <w:sz w:val="20"/>
          <w:szCs w:val="20"/>
        </w:rPr>
      </w:pPr>
      <w:r>
        <w:rPr>
          <w:rFonts w:ascii="Arial" w:hAnsi="Arial" w:cs="Arial"/>
          <w:color w:val="000000"/>
          <w:sz w:val="20"/>
          <w:szCs w:val="20"/>
        </w:rPr>
        <w:t>(Tarun Singh)</w:t>
      </w:r>
      <w:r>
        <w:rPr>
          <w:rFonts w:ascii="Arial" w:hAnsi="Arial" w:cs="Arial"/>
          <w:color w:val="000000"/>
          <w:sz w:val="20"/>
          <w:szCs w:val="20"/>
        </w:rPr>
        <w:br/>
        <w:t>Chief General Manager</w:t>
      </w:r>
    </w:p>
    <w:p w:rsidR="00163CFD" w:rsidRDefault="00163CFD" w:rsidP="00163CFD">
      <w:pPr>
        <w:pStyle w:val="NormalWeb"/>
        <w:rPr>
          <w:rFonts w:ascii="Arial" w:hAnsi="Arial" w:cs="Arial"/>
          <w:color w:val="000000"/>
          <w:sz w:val="20"/>
          <w:szCs w:val="20"/>
        </w:rPr>
      </w:pPr>
      <w:r w:rsidRPr="00163CFD">
        <w:rPr>
          <w:rFonts w:ascii="Arial" w:hAnsi="Arial" w:cs="Arial"/>
          <w:color w:val="000000"/>
          <w:sz w:val="20"/>
          <w:szCs w:val="20"/>
        </w:rPr>
        <w:t>For more details, kindly refer:</w:t>
      </w:r>
    </w:p>
    <w:p w:rsidR="00163CFD" w:rsidRDefault="00163CFD" w:rsidP="00163CFD">
      <w:pPr>
        <w:pStyle w:val="NormalWeb"/>
        <w:rPr>
          <w:rFonts w:ascii="Arial" w:hAnsi="Arial" w:cs="Arial"/>
          <w:color w:val="000000"/>
          <w:sz w:val="20"/>
          <w:szCs w:val="20"/>
        </w:rPr>
      </w:pPr>
      <w:hyperlink r:id="rId63" w:history="1">
        <w:r w:rsidRPr="00692C03">
          <w:rPr>
            <w:rStyle w:val="Hyperlink"/>
            <w:rFonts w:ascii="Arial" w:hAnsi="Arial" w:cs="Arial"/>
            <w:sz w:val="20"/>
            <w:szCs w:val="20"/>
          </w:rPr>
          <w:t>https://www.rbi.org.in/Scripts/NotificationUser.aspx?Id=12678&amp;Mode=0</w:t>
        </w:r>
      </w:hyperlink>
      <w:r>
        <w:rPr>
          <w:rFonts w:ascii="Arial" w:hAnsi="Arial" w:cs="Arial"/>
          <w:color w:val="000000"/>
          <w:sz w:val="20"/>
          <w:szCs w:val="20"/>
        </w:rPr>
        <w:t xml:space="preserve"> </w:t>
      </w:r>
    </w:p>
    <w:p w:rsidR="00FF71D4" w:rsidRDefault="00FF71D4" w:rsidP="00FF71D4">
      <w:pPr>
        <w:pStyle w:val="head"/>
        <w:jc w:val="center"/>
        <w:rPr>
          <w:rFonts w:ascii="Arial" w:hAnsi="Arial" w:cs="Arial"/>
          <w:b/>
          <w:bCs/>
          <w:color w:val="000000"/>
          <w:sz w:val="20"/>
          <w:szCs w:val="20"/>
        </w:rPr>
      </w:pPr>
      <w:r>
        <w:rPr>
          <w:rFonts w:ascii="Arial" w:hAnsi="Arial" w:cs="Arial"/>
          <w:b/>
          <w:bCs/>
          <w:color w:val="000000"/>
          <w:sz w:val="20"/>
          <w:szCs w:val="20"/>
        </w:rPr>
        <w:lastRenderedPageBreak/>
        <w:t>Foreign Exchange Management (Deposit) (Fourth Amendment) Regulations, 2024</w:t>
      </w:r>
    </w:p>
    <w:p w:rsidR="00FF71D4" w:rsidRDefault="00FF71D4" w:rsidP="00FF71D4">
      <w:pPr>
        <w:pStyle w:val="head"/>
        <w:jc w:val="both"/>
        <w:rPr>
          <w:rFonts w:ascii="Arial" w:hAnsi="Arial" w:cs="Arial"/>
          <w:b/>
          <w:bCs/>
          <w:color w:val="000000"/>
          <w:sz w:val="20"/>
          <w:szCs w:val="20"/>
        </w:rPr>
      </w:pPr>
      <w:r>
        <w:rPr>
          <w:rFonts w:ascii="Arial" w:hAnsi="Arial" w:cs="Arial"/>
          <w:b/>
          <w:bCs/>
          <w:color w:val="000000"/>
          <w:sz w:val="20"/>
          <w:szCs w:val="20"/>
        </w:rPr>
        <w:t>Notification No. FEMA 5(R)</w:t>
      </w:r>
      <w:proofErr w:type="gramStart"/>
      <w:r>
        <w:rPr>
          <w:rFonts w:ascii="Arial" w:hAnsi="Arial" w:cs="Arial"/>
          <w:b/>
          <w:bCs/>
          <w:color w:val="000000"/>
          <w:sz w:val="20"/>
          <w:szCs w:val="20"/>
        </w:rPr>
        <w:t>/(</w:t>
      </w:r>
      <w:proofErr w:type="gramEnd"/>
      <w:r>
        <w:rPr>
          <w:rFonts w:ascii="Arial" w:hAnsi="Arial" w:cs="Arial"/>
          <w:b/>
          <w:bCs/>
          <w:color w:val="000000"/>
          <w:sz w:val="20"/>
          <w:szCs w:val="20"/>
        </w:rPr>
        <w:t>4)/2024-RB</w:t>
      </w:r>
    </w:p>
    <w:p w:rsidR="00FF71D4" w:rsidRDefault="00FF71D4" w:rsidP="00FF71D4">
      <w:pPr>
        <w:pStyle w:val="NormalWeb"/>
        <w:jc w:val="right"/>
        <w:rPr>
          <w:rFonts w:ascii="Arial" w:hAnsi="Arial" w:cs="Arial"/>
          <w:color w:val="000000"/>
          <w:sz w:val="20"/>
          <w:szCs w:val="20"/>
        </w:rPr>
      </w:pPr>
      <w:r>
        <w:rPr>
          <w:rFonts w:ascii="Arial" w:hAnsi="Arial" w:cs="Arial"/>
          <w:color w:val="000000"/>
          <w:sz w:val="20"/>
          <w:szCs w:val="20"/>
        </w:rPr>
        <w:t>May 06, 2024</w:t>
      </w:r>
    </w:p>
    <w:p w:rsidR="00FF71D4" w:rsidRDefault="00FF71D4" w:rsidP="00FF71D4">
      <w:pPr>
        <w:pStyle w:val="head"/>
        <w:jc w:val="center"/>
        <w:rPr>
          <w:rFonts w:ascii="Arial" w:hAnsi="Arial" w:cs="Arial"/>
          <w:b/>
          <w:bCs/>
          <w:color w:val="000000"/>
          <w:sz w:val="20"/>
          <w:szCs w:val="20"/>
        </w:rPr>
      </w:pPr>
      <w:r>
        <w:rPr>
          <w:rFonts w:ascii="Arial" w:hAnsi="Arial" w:cs="Arial"/>
          <w:b/>
          <w:bCs/>
          <w:color w:val="000000"/>
          <w:sz w:val="20"/>
          <w:szCs w:val="20"/>
        </w:rPr>
        <w:t>Foreign Exchange Management (Deposit) (Fourth Amendment) Regulations, 2024</w:t>
      </w:r>
    </w:p>
    <w:p w:rsidR="00FF71D4" w:rsidRDefault="00FF71D4" w:rsidP="00FF71D4">
      <w:pPr>
        <w:pStyle w:val="NormalWeb"/>
        <w:jc w:val="both"/>
        <w:rPr>
          <w:rFonts w:ascii="Arial" w:hAnsi="Arial" w:cs="Arial"/>
          <w:color w:val="000000"/>
          <w:sz w:val="20"/>
          <w:szCs w:val="20"/>
        </w:rPr>
      </w:pPr>
      <w:r>
        <w:rPr>
          <w:rFonts w:ascii="Arial" w:hAnsi="Arial" w:cs="Arial"/>
          <w:color w:val="000000"/>
          <w:sz w:val="20"/>
          <w:szCs w:val="20"/>
        </w:rPr>
        <w:t>In exercise of the powers conferred by sub-section (2) of section 47 of the Foreign Exchange Management Act, 1999 (42 of 1999), the Reserve Bank of India makes the following amendment in the Foreign Exchange Management (Deposit) Regulations, 2016 (</w:t>
      </w:r>
      <w:hyperlink r:id="rId64" w:tgtFrame="_blank" w:history="1">
        <w:r>
          <w:rPr>
            <w:rStyle w:val="Hyperlink"/>
            <w:rFonts w:ascii="Arial" w:hAnsi="Arial" w:cs="Arial"/>
            <w:sz w:val="20"/>
            <w:szCs w:val="20"/>
            <w:u w:val="none"/>
          </w:rPr>
          <w:t>Notification No. FEMA 5 (R)/2016-RB dated April 01, 2016</w:t>
        </w:r>
      </w:hyperlink>
      <w:r>
        <w:rPr>
          <w:rFonts w:ascii="Arial" w:hAnsi="Arial" w:cs="Arial"/>
          <w:color w:val="000000"/>
          <w:sz w:val="20"/>
          <w:szCs w:val="20"/>
        </w:rPr>
        <w:t xml:space="preserve">) (hereinafter referred to as 'the Principal Regulations'), </w:t>
      </w:r>
      <w:proofErr w:type="gramStart"/>
      <w:r>
        <w:rPr>
          <w:rFonts w:ascii="Arial" w:hAnsi="Arial" w:cs="Arial"/>
          <w:color w:val="000000"/>
          <w:sz w:val="20"/>
          <w:szCs w:val="20"/>
        </w:rPr>
        <w:t>namely:</w:t>
      </w:r>
      <w:proofErr w:type="gramEnd"/>
      <w:r>
        <w:rPr>
          <w:rFonts w:ascii="Arial" w:hAnsi="Arial" w:cs="Arial"/>
          <w:color w:val="000000"/>
          <w:sz w:val="20"/>
          <w:szCs w:val="20"/>
        </w:rPr>
        <w:t>-</w:t>
      </w:r>
    </w:p>
    <w:p w:rsidR="00FF71D4" w:rsidRDefault="00FF71D4" w:rsidP="00FF71D4">
      <w:pPr>
        <w:pStyle w:val="head"/>
        <w:jc w:val="both"/>
        <w:rPr>
          <w:rFonts w:ascii="Arial" w:hAnsi="Arial" w:cs="Arial"/>
          <w:b/>
          <w:bCs/>
          <w:color w:val="000000"/>
          <w:sz w:val="20"/>
          <w:szCs w:val="20"/>
        </w:rPr>
      </w:pPr>
      <w:r>
        <w:rPr>
          <w:rFonts w:ascii="Arial" w:hAnsi="Arial" w:cs="Arial"/>
          <w:b/>
          <w:bCs/>
          <w:color w:val="000000"/>
          <w:sz w:val="20"/>
          <w:szCs w:val="20"/>
        </w:rPr>
        <w:t>1. Short title and commencement:</w:t>
      </w:r>
    </w:p>
    <w:p w:rsidR="00FF71D4" w:rsidRDefault="00FF71D4" w:rsidP="00FF71D4">
      <w:pPr>
        <w:pStyle w:val="NormalWeb"/>
        <w:numPr>
          <w:ilvl w:val="0"/>
          <w:numId w:val="10"/>
        </w:numPr>
        <w:ind w:left="0"/>
        <w:jc w:val="both"/>
        <w:rPr>
          <w:rFonts w:ascii="Arial" w:hAnsi="Arial" w:cs="Arial"/>
          <w:color w:val="000000"/>
          <w:sz w:val="20"/>
          <w:szCs w:val="20"/>
        </w:rPr>
      </w:pPr>
      <w:r>
        <w:rPr>
          <w:rFonts w:ascii="Arial" w:hAnsi="Arial" w:cs="Arial"/>
          <w:color w:val="000000"/>
          <w:sz w:val="20"/>
          <w:szCs w:val="20"/>
        </w:rPr>
        <w:t>These regulations shall be called the Foreign Exchange Management (Deposit) (Fourth Amendment) Regulations, 2024.</w:t>
      </w:r>
    </w:p>
    <w:p w:rsidR="00FF71D4" w:rsidRDefault="00FF71D4" w:rsidP="00FF71D4">
      <w:pPr>
        <w:pStyle w:val="NormalWeb"/>
        <w:numPr>
          <w:ilvl w:val="0"/>
          <w:numId w:val="10"/>
        </w:numPr>
        <w:ind w:left="0"/>
        <w:jc w:val="both"/>
        <w:rPr>
          <w:rFonts w:ascii="Arial" w:hAnsi="Arial" w:cs="Arial"/>
          <w:color w:val="000000"/>
          <w:sz w:val="20"/>
          <w:szCs w:val="20"/>
        </w:rPr>
      </w:pPr>
      <w:r>
        <w:rPr>
          <w:rFonts w:ascii="Arial" w:hAnsi="Arial" w:cs="Arial"/>
          <w:color w:val="000000"/>
          <w:sz w:val="20"/>
          <w:szCs w:val="20"/>
        </w:rPr>
        <w:t>They shall come into force with effect from the date of their publication in the </w:t>
      </w:r>
      <w:hyperlink r:id="rId65" w:tgtFrame="_blank" w:history="1">
        <w:r>
          <w:rPr>
            <w:rStyle w:val="Hyperlink"/>
            <w:rFonts w:ascii="Arial" w:hAnsi="Arial" w:cs="Arial"/>
            <w:sz w:val="20"/>
            <w:szCs w:val="20"/>
            <w:u w:val="none"/>
          </w:rPr>
          <w:t>Official Gazette</w:t>
        </w:r>
      </w:hyperlink>
      <w:r>
        <w:rPr>
          <w:rFonts w:ascii="Arial" w:hAnsi="Arial" w:cs="Arial"/>
          <w:color w:val="000000"/>
          <w:sz w:val="20"/>
          <w:szCs w:val="20"/>
        </w:rPr>
        <w:t>.</w:t>
      </w:r>
    </w:p>
    <w:p w:rsidR="00FF71D4" w:rsidRDefault="00FF71D4" w:rsidP="00FF71D4">
      <w:pPr>
        <w:pStyle w:val="NormalWeb"/>
        <w:jc w:val="both"/>
        <w:rPr>
          <w:rFonts w:ascii="Arial" w:hAnsi="Arial" w:cs="Arial"/>
          <w:color w:val="000000"/>
          <w:sz w:val="20"/>
          <w:szCs w:val="20"/>
        </w:rPr>
      </w:pPr>
      <w:r>
        <w:rPr>
          <w:rStyle w:val="Strong"/>
          <w:rFonts w:ascii="Arial" w:hAnsi="Arial" w:cs="Arial"/>
          <w:color w:val="000000"/>
          <w:sz w:val="20"/>
          <w:szCs w:val="20"/>
        </w:rPr>
        <w:t>2. Amendment to Regulation 7 of the Principal Regulations:</w:t>
      </w:r>
    </w:p>
    <w:p w:rsidR="00FF71D4" w:rsidRDefault="00FF71D4" w:rsidP="00FF71D4">
      <w:pPr>
        <w:pStyle w:val="NormalWeb"/>
        <w:rPr>
          <w:rFonts w:ascii="Arial" w:hAnsi="Arial" w:cs="Arial"/>
          <w:color w:val="000000"/>
          <w:sz w:val="20"/>
          <w:szCs w:val="20"/>
        </w:rPr>
      </w:pPr>
      <w:r>
        <w:rPr>
          <w:rFonts w:ascii="Arial" w:hAnsi="Arial" w:cs="Arial"/>
          <w:color w:val="000000"/>
          <w:sz w:val="20"/>
          <w:szCs w:val="20"/>
        </w:rPr>
        <w:t xml:space="preserve">In the Principal Regulations, in Regulation 7, after sub-regulation 5, the following new sub-regulation </w:t>
      </w:r>
      <w:proofErr w:type="gramStart"/>
      <w:r>
        <w:rPr>
          <w:rFonts w:ascii="Arial" w:hAnsi="Arial" w:cs="Arial"/>
          <w:color w:val="000000"/>
          <w:sz w:val="20"/>
          <w:szCs w:val="20"/>
        </w:rPr>
        <w:t>shall be inserted</w:t>
      </w:r>
      <w:proofErr w:type="gramEnd"/>
      <w:r>
        <w:rPr>
          <w:rFonts w:ascii="Arial" w:hAnsi="Arial" w:cs="Arial"/>
          <w:color w:val="000000"/>
          <w:sz w:val="20"/>
          <w:szCs w:val="20"/>
        </w:rPr>
        <w:t>, namely:-</w:t>
      </w:r>
    </w:p>
    <w:p w:rsidR="00FF71D4" w:rsidRDefault="00FF71D4" w:rsidP="00FF71D4">
      <w:pPr>
        <w:pStyle w:val="NormalWeb"/>
        <w:jc w:val="both"/>
        <w:rPr>
          <w:rFonts w:ascii="Arial" w:hAnsi="Arial" w:cs="Arial"/>
          <w:color w:val="000000"/>
          <w:sz w:val="20"/>
          <w:szCs w:val="20"/>
        </w:rPr>
      </w:pPr>
      <w:proofErr w:type="gramStart"/>
      <w:r>
        <w:rPr>
          <w:rFonts w:ascii="Arial" w:hAnsi="Arial" w:cs="Arial"/>
          <w:color w:val="000000"/>
          <w:sz w:val="20"/>
          <w:szCs w:val="20"/>
        </w:rPr>
        <w:t>“6) An authorised dealer in India may allow a person resident outside India to open, hold and maintain an interest-bearing account in Indian Rupees and / or foreign currency for the purpose of posting and collecting margin in India, for a permitted derivative contract entered into by such person in terms of </w:t>
      </w:r>
      <w:hyperlink r:id="rId66" w:tgtFrame="_blank" w:history="1">
        <w:r>
          <w:rPr>
            <w:rStyle w:val="Hyperlink"/>
            <w:rFonts w:ascii="Arial" w:hAnsi="Arial" w:cs="Arial"/>
            <w:sz w:val="20"/>
            <w:szCs w:val="20"/>
            <w:u w:val="none"/>
          </w:rPr>
          <w:t>Foreign Exchange Management (Margin for Derivative Contracts) Regulations, 2020, dated October 23, 2020</w:t>
        </w:r>
      </w:hyperlink>
      <w:r>
        <w:rPr>
          <w:rFonts w:ascii="Arial" w:hAnsi="Arial" w:cs="Arial"/>
          <w:color w:val="000000"/>
          <w:sz w:val="20"/>
          <w:szCs w:val="20"/>
        </w:rPr>
        <w:t>, as amended from time to time, subject to directions issued by the Reserve Bank in this regard.”</w:t>
      </w:r>
      <w:proofErr w:type="gramEnd"/>
    </w:p>
    <w:p w:rsidR="00FF71D4" w:rsidRDefault="00FF71D4" w:rsidP="00FF71D4">
      <w:pPr>
        <w:pStyle w:val="head"/>
        <w:jc w:val="right"/>
        <w:rPr>
          <w:rFonts w:ascii="Arial" w:hAnsi="Arial" w:cs="Arial"/>
          <w:b/>
          <w:bCs/>
          <w:color w:val="000000"/>
          <w:sz w:val="20"/>
          <w:szCs w:val="20"/>
        </w:rPr>
      </w:pPr>
      <w:r>
        <w:rPr>
          <w:rFonts w:ascii="Arial" w:hAnsi="Arial" w:cs="Arial"/>
          <w:b/>
          <w:bCs/>
          <w:color w:val="000000"/>
          <w:sz w:val="20"/>
          <w:szCs w:val="20"/>
        </w:rPr>
        <w:t>(</w:t>
      </w:r>
      <w:proofErr w:type="spellStart"/>
      <w:r>
        <w:rPr>
          <w:rFonts w:ascii="Arial" w:hAnsi="Arial" w:cs="Arial"/>
          <w:b/>
          <w:bCs/>
          <w:color w:val="000000"/>
          <w:sz w:val="20"/>
          <w:szCs w:val="20"/>
        </w:rPr>
        <w:t>Latha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Radhakrishnan</w:t>
      </w:r>
      <w:proofErr w:type="spellEnd"/>
      <w:r>
        <w:rPr>
          <w:rFonts w:ascii="Arial" w:hAnsi="Arial" w:cs="Arial"/>
          <w:b/>
          <w:bCs/>
          <w:color w:val="000000"/>
          <w:sz w:val="20"/>
          <w:szCs w:val="20"/>
        </w:rPr>
        <w:t>)</w:t>
      </w:r>
      <w:r>
        <w:rPr>
          <w:rFonts w:ascii="Arial" w:hAnsi="Arial" w:cs="Arial"/>
          <w:b/>
          <w:bCs/>
          <w:color w:val="000000"/>
          <w:sz w:val="20"/>
          <w:szCs w:val="20"/>
        </w:rPr>
        <w:br/>
        <w:t>General Manager (Officer-in-Charge)</w:t>
      </w:r>
    </w:p>
    <w:p w:rsidR="00FF71D4" w:rsidRPr="00FF71D4" w:rsidRDefault="00FF71D4" w:rsidP="00FF71D4">
      <w:pPr>
        <w:pStyle w:val="head"/>
        <w:rPr>
          <w:rFonts w:ascii="Arial" w:hAnsi="Arial" w:cs="Arial"/>
          <w:bCs/>
          <w:color w:val="000000"/>
          <w:sz w:val="20"/>
          <w:szCs w:val="20"/>
        </w:rPr>
      </w:pPr>
      <w:r w:rsidRPr="00FF71D4">
        <w:rPr>
          <w:rFonts w:ascii="Arial" w:hAnsi="Arial" w:cs="Arial"/>
          <w:bCs/>
          <w:color w:val="000000"/>
          <w:sz w:val="20"/>
          <w:szCs w:val="20"/>
        </w:rPr>
        <w:t>For more details, kindly refer:</w:t>
      </w:r>
    </w:p>
    <w:p w:rsidR="00FF71D4" w:rsidRDefault="00FF71D4" w:rsidP="00FF71D4">
      <w:pPr>
        <w:pStyle w:val="head"/>
        <w:rPr>
          <w:rFonts w:ascii="Arial" w:hAnsi="Arial" w:cs="Arial"/>
          <w:bCs/>
          <w:color w:val="000000"/>
          <w:sz w:val="20"/>
          <w:szCs w:val="20"/>
        </w:rPr>
      </w:pPr>
      <w:hyperlink r:id="rId67" w:history="1">
        <w:r w:rsidRPr="00FF71D4">
          <w:rPr>
            <w:rStyle w:val="Hyperlink"/>
            <w:rFonts w:ascii="Arial" w:hAnsi="Arial" w:cs="Arial"/>
            <w:bCs/>
            <w:sz w:val="20"/>
            <w:szCs w:val="20"/>
          </w:rPr>
          <w:t>https://www.rbi.org.in/Scripts/NotificationUser.aspx?Id=12684&amp;Mode=0</w:t>
        </w:r>
      </w:hyperlink>
      <w:r w:rsidRPr="00FF71D4">
        <w:rPr>
          <w:rFonts w:ascii="Arial" w:hAnsi="Arial" w:cs="Arial"/>
          <w:bCs/>
          <w:color w:val="000000"/>
          <w:sz w:val="20"/>
          <w:szCs w:val="20"/>
        </w:rPr>
        <w:t xml:space="preserve"> </w:t>
      </w:r>
    </w:p>
    <w:p w:rsidR="00FF71D4" w:rsidRDefault="00FF71D4" w:rsidP="00FF71D4">
      <w:pPr>
        <w:pStyle w:val="head"/>
        <w:rPr>
          <w:rFonts w:ascii="Arial" w:hAnsi="Arial" w:cs="Arial"/>
          <w:bCs/>
          <w:color w:val="000000"/>
          <w:sz w:val="20"/>
          <w:szCs w:val="20"/>
        </w:rPr>
      </w:pPr>
    </w:p>
    <w:p w:rsidR="003B7C18" w:rsidRDefault="003B7C18" w:rsidP="00FF71D4">
      <w:pPr>
        <w:pStyle w:val="head"/>
        <w:rPr>
          <w:rFonts w:ascii="Arial" w:hAnsi="Arial" w:cs="Arial"/>
          <w:bCs/>
          <w:color w:val="000000"/>
          <w:sz w:val="20"/>
          <w:szCs w:val="20"/>
        </w:rPr>
      </w:pPr>
    </w:p>
    <w:p w:rsidR="003B7C18" w:rsidRDefault="003B7C18" w:rsidP="00FF71D4">
      <w:pPr>
        <w:pStyle w:val="head"/>
        <w:rPr>
          <w:rFonts w:ascii="Arial" w:hAnsi="Arial" w:cs="Arial"/>
          <w:bCs/>
          <w:color w:val="000000"/>
          <w:sz w:val="20"/>
          <w:szCs w:val="20"/>
        </w:rPr>
      </w:pPr>
    </w:p>
    <w:p w:rsidR="003B7C18" w:rsidRDefault="003B7C18" w:rsidP="00FF71D4">
      <w:pPr>
        <w:pStyle w:val="head"/>
        <w:rPr>
          <w:rFonts w:ascii="Arial" w:hAnsi="Arial" w:cs="Arial"/>
          <w:bCs/>
          <w:color w:val="000000"/>
          <w:sz w:val="20"/>
          <w:szCs w:val="20"/>
        </w:rPr>
      </w:pPr>
    </w:p>
    <w:p w:rsidR="003B7C18" w:rsidRDefault="003B7C18" w:rsidP="00FF71D4">
      <w:pPr>
        <w:pStyle w:val="head"/>
        <w:rPr>
          <w:rFonts w:ascii="Arial" w:hAnsi="Arial" w:cs="Arial"/>
          <w:bCs/>
          <w:color w:val="000000"/>
          <w:sz w:val="20"/>
          <w:szCs w:val="20"/>
        </w:rPr>
      </w:pPr>
    </w:p>
    <w:p w:rsidR="003B7C18" w:rsidRDefault="003B7C18" w:rsidP="00FF71D4">
      <w:pPr>
        <w:pStyle w:val="head"/>
        <w:rPr>
          <w:rFonts w:ascii="Arial" w:hAnsi="Arial" w:cs="Arial"/>
          <w:bCs/>
          <w:color w:val="000000"/>
          <w:sz w:val="20"/>
          <w:szCs w:val="20"/>
        </w:rPr>
      </w:pPr>
    </w:p>
    <w:p w:rsidR="003B7C18" w:rsidRDefault="003B7C18" w:rsidP="00FF71D4">
      <w:pPr>
        <w:pStyle w:val="head"/>
        <w:rPr>
          <w:rFonts w:ascii="Arial" w:hAnsi="Arial" w:cs="Arial"/>
          <w:bCs/>
          <w:color w:val="000000"/>
          <w:sz w:val="20"/>
          <w:szCs w:val="20"/>
        </w:rPr>
      </w:pPr>
    </w:p>
    <w:p w:rsidR="003B7C18" w:rsidRDefault="003B7C18" w:rsidP="00FF71D4">
      <w:pPr>
        <w:pStyle w:val="head"/>
        <w:rPr>
          <w:rFonts w:ascii="Arial" w:hAnsi="Arial" w:cs="Arial"/>
          <w:bCs/>
          <w:color w:val="000000"/>
          <w:sz w:val="20"/>
          <w:szCs w:val="20"/>
        </w:rPr>
      </w:pPr>
    </w:p>
    <w:p w:rsidR="003B7C18" w:rsidRDefault="003B7C18" w:rsidP="00FF71D4">
      <w:pPr>
        <w:pStyle w:val="head"/>
        <w:rPr>
          <w:rFonts w:ascii="Arial" w:hAnsi="Arial" w:cs="Arial"/>
          <w:bCs/>
          <w:color w:val="000000"/>
          <w:sz w:val="20"/>
          <w:szCs w:val="20"/>
        </w:rPr>
      </w:pPr>
    </w:p>
    <w:p w:rsidR="003B7C18" w:rsidRPr="003B7C18" w:rsidRDefault="003B7C18" w:rsidP="003B7C18">
      <w:pPr>
        <w:spacing w:before="100" w:beforeAutospacing="1" w:after="100" w:afterAutospacing="1" w:line="240" w:lineRule="auto"/>
        <w:jc w:val="center"/>
        <w:rPr>
          <w:rFonts w:ascii="Arial" w:eastAsia="Times New Roman" w:hAnsi="Arial" w:cs="Arial"/>
          <w:b/>
          <w:bCs/>
          <w:color w:val="000000"/>
          <w:sz w:val="20"/>
          <w:szCs w:val="20"/>
          <w:lang w:eastAsia="en-IN"/>
        </w:rPr>
      </w:pPr>
      <w:r w:rsidRPr="003B7C18">
        <w:rPr>
          <w:rFonts w:ascii="Arial" w:eastAsia="Times New Roman" w:hAnsi="Arial" w:cs="Arial"/>
          <w:b/>
          <w:bCs/>
          <w:color w:val="000000"/>
          <w:sz w:val="20"/>
          <w:szCs w:val="20"/>
          <w:lang w:eastAsia="en-IN"/>
        </w:rPr>
        <w:lastRenderedPageBreak/>
        <w:t xml:space="preserve">Issuance of partly paid units to </w:t>
      </w:r>
      <w:proofErr w:type="gramStart"/>
      <w:r w:rsidRPr="003B7C18">
        <w:rPr>
          <w:rFonts w:ascii="Arial" w:eastAsia="Times New Roman" w:hAnsi="Arial" w:cs="Arial"/>
          <w:b/>
          <w:bCs/>
          <w:color w:val="000000"/>
          <w:sz w:val="20"/>
          <w:szCs w:val="20"/>
          <w:lang w:eastAsia="en-IN"/>
        </w:rPr>
        <w:t>persons</w:t>
      </w:r>
      <w:proofErr w:type="gramEnd"/>
      <w:r w:rsidRPr="003B7C18">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3B7C18" w:rsidRPr="003B7C18" w:rsidRDefault="003B7C18" w:rsidP="003B7C18">
      <w:pPr>
        <w:spacing w:before="100" w:beforeAutospacing="1" w:after="100" w:afterAutospacing="1" w:line="240" w:lineRule="auto"/>
        <w:jc w:val="both"/>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RBI/2024-25/36</w:t>
      </w:r>
      <w:r w:rsidRPr="003B7C18">
        <w:rPr>
          <w:rFonts w:ascii="Arial" w:eastAsia="Times New Roman" w:hAnsi="Arial" w:cs="Arial"/>
          <w:color w:val="000000"/>
          <w:sz w:val="20"/>
          <w:szCs w:val="20"/>
          <w:lang w:eastAsia="en-IN"/>
        </w:rPr>
        <w:br/>
        <w:t>A.P. (DIR Series) Circular No. 7</w:t>
      </w:r>
    </w:p>
    <w:p w:rsidR="003B7C18" w:rsidRPr="003B7C18" w:rsidRDefault="003B7C18" w:rsidP="003B7C18">
      <w:pPr>
        <w:spacing w:before="100" w:beforeAutospacing="1" w:after="100" w:afterAutospacing="1" w:line="240" w:lineRule="auto"/>
        <w:jc w:val="right"/>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May 21, 2024</w:t>
      </w:r>
    </w:p>
    <w:p w:rsidR="003B7C18" w:rsidRPr="003B7C18" w:rsidRDefault="003B7C18" w:rsidP="003B7C18">
      <w:pPr>
        <w:spacing w:before="100" w:beforeAutospacing="1" w:after="100" w:afterAutospacing="1" w:line="240" w:lineRule="auto"/>
        <w:jc w:val="both"/>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To</w:t>
      </w:r>
    </w:p>
    <w:p w:rsidR="003B7C18" w:rsidRPr="003B7C18" w:rsidRDefault="003B7C18" w:rsidP="003B7C18">
      <w:pPr>
        <w:spacing w:before="100" w:beforeAutospacing="1" w:after="100" w:afterAutospacing="1" w:line="240" w:lineRule="auto"/>
        <w:jc w:val="both"/>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All Authorised Dealer Category – I banks</w:t>
      </w:r>
    </w:p>
    <w:p w:rsidR="003B7C18" w:rsidRPr="003B7C18" w:rsidRDefault="003B7C18" w:rsidP="003B7C18">
      <w:pPr>
        <w:spacing w:before="100" w:beforeAutospacing="1" w:after="100" w:afterAutospacing="1" w:line="240" w:lineRule="auto"/>
        <w:jc w:val="both"/>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Madam / Sir</w:t>
      </w:r>
    </w:p>
    <w:p w:rsidR="003B7C18" w:rsidRPr="003B7C18" w:rsidRDefault="003B7C18" w:rsidP="003B7C18">
      <w:pPr>
        <w:spacing w:before="100" w:beforeAutospacing="1" w:after="100" w:afterAutospacing="1" w:line="240" w:lineRule="auto"/>
        <w:jc w:val="center"/>
        <w:rPr>
          <w:rFonts w:ascii="Arial" w:eastAsia="Times New Roman" w:hAnsi="Arial" w:cs="Arial"/>
          <w:b/>
          <w:bCs/>
          <w:color w:val="000000"/>
          <w:sz w:val="20"/>
          <w:szCs w:val="20"/>
          <w:lang w:eastAsia="en-IN"/>
        </w:rPr>
      </w:pPr>
      <w:r w:rsidRPr="003B7C18">
        <w:rPr>
          <w:rFonts w:ascii="Arial" w:eastAsia="Times New Roman" w:hAnsi="Arial" w:cs="Arial"/>
          <w:b/>
          <w:bCs/>
          <w:color w:val="000000"/>
          <w:sz w:val="20"/>
          <w:szCs w:val="20"/>
          <w:lang w:eastAsia="en-IN"/>
        </w:rPr>
        <w:t xml:space="preserve">Issuance of partly paid units to </w:t>
      </w:r>
      <w:proofErr w:type="gramStart"/>
      <w:r w:rsidRPr="003B7C18">
        <w:rPr>
          <w:rFonts w:ascii="Arial" w:eastAsia="Times New Roman" w:hAnsi="Arial" w:cs="Arial"/>
          <w:b/>
          <w:bCs/>
          <w:color w:val="000000"/>
          <w:sz w:val="20"/>
          <w:szCs w:val="20"/>
          <w:lang w:eastAsia="en-IN"/>
        </w:rPr>
        <w:t>persons</w:t>
      </w:r>
      <w:proofErr w:type="gramEnd"/>
      <w:r w:rsidRPr="003B7C18">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3B7C18" w:rsidRPr="003B7C18" w:rsidRDefault="003B7C18" w:rsidP="003B7C18">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3B7C18">
        <w:rPr>
          <w:rFonts w:ascii="Arial" w:eastAsia="Times New Roman" w:hAnsi="Arial" w:cs="Arial"/>
          <w:color w:val="000000"/>
          <w:sz w:val="20"/>
          <w:szCs w:val="20"/>
          <w:lang w:eastAsia="en-IN"/>
        </w:rPr>
        <w:t>Attention of Authorised Dealer (AD) Category - I banks is invited to the </w:t>
      </w:r>
      <w:hyperlink r:id="rId68" w:tgtFrame="_blank" w:history="1">
        <w:r w:rsidRPr="003B7C18">
          <w:rPr>
            <w:rFonts w:ascii="Arial" w:eastAsia="Times New Roman" w:hAnsi="Arial" w:cs="Arial"/>
            <w:color w:val="0000FF"/>
            <w:sz w:val="20"/>
            <w:szCs w:val="20"/>
            <w:u w:val="single"/>
            <w:lang w:eastAsia="en-IN"/>
          </w:rPr>
          <w:t>Foreign Exchange Management (Non-debt Instruments) Rules, 2019</w:t>
        </w:r>
      </w:hyperlink>
      <w:r w:rsidRPr="003B7C18">
        <w:rPr>
          <w:rFonts w:ascii="Arial" w:eastAsia="Times New Roman" w:hAnsi="Arial" w:cs="Arial"/>
          <w:color w:val="000000"/>
          <w:sz w:val="20"/>
          <w:szCs w:val="20"/>
          <w:lang w:eastAsia="en-IN"/>
        </w:rPr>
        <w:t>, notified by the Central Government on October 17, 2019, which have been amended through the Foreign Exchange Management (Non-debt Instruments) (Second Amendment) Rules, 2024 vide S.O. 1361(E), dated March 14, 2024, enabling issuance of partly paid units to persons resident outside India by investment vehicles.</w:t>
      </w:r>
      <w:proofErr w:type="gramEnd"/>
    </w:p>
    <w:p w:rsidR="003B7C18" w:rsidRPr="003B7C18" w:rsidRDefault="003B7C18" w:rsidP="003B7C18">
      <w:pPr>
        <w:spacing w:before="100" w:beforeAutospacing="1" w:after="100" w:afterAutospacing="1" w:line="240" w:lineRule="auto"/>
        <w:jc w:val="both"/>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 xml:space="preserve">2. In this regard, it has been decided to regularise the issuances of partly paid units by Alternative Investment Funds to </w:t>
      </w:r>
      <w:proofErr w:type="gramStart"/>
      <w:r w:rsidRPr="003B7C18">
        <w:rPr>
          <w:rFonts w:ascii="Arial" w:eastAsia="Times New Roman" w:hAnsi="Arial" w:cs="Arial"/>
          <w:color w:val="000000"/>
          <w:sz w:val="20"/>
          <w:szCs w:val="20"/>
          <w:lang w:eastAsia="en-IN"/>
        </w:rPr>
        <w:t>persons</w:t>
      </w:r>
      <w:proofErr w:type="gramEnd"/>
      <w:r w:rsidRPr="003B7C18">
        <w:rPr>
          <w:rFonts w:ascii="Arial" w:eastAsia="Times New Roman" w:hAnsi="Arial" w:cs="Arial"/>
          <w:color w:val="000000"/>
          <w:sz w:val="20"/>
          <w:szCs w:val="20"/>
          <w:lang w:eastAsia="en-IN"/>
        </w:rPr>
        <w:t xml:space="preserve"> resident outside India prior to the said amendment through compounding under Foreign Exchange Management Act, 1999. However, before approaching the Reserve Bank for compounding, AD Category-I banks may ensure that the necessary administrative action, including the reporting of such issuances by Alternative Investment Funds to the Reserve Bank, through Foreign Investment Reporting and Management System (FIRMS) Portal and issuing of conditional acknowledgements for such reporting, is completed.</w:t>
      </w:r>
    </w:p>
    <w:p w:rsidR="003B7C18" w:rsidRPr="003B7C18" w:rsidRDefault="003B7C18" w:rsidP="003B7C18">
      <w:pPr>
        <w:spacing w:before="100" w:beforeAutospacing="1" w:after="100" w:afterAutospacing="1" w:line="240" w:lineRule="auto"/>
        <w:jc w:val="both"/>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3. AD Category-I banks may bring the contents of this circular to the notice of their customers / constituents concerned.</w:t>
      </w:r>
    </w:p>
    <w:p w:rsidR="003B7C18" w:rsidRPr="003B7C18" w:rsidRDefault="003B7C18" w:rsidP="003B7C18">
      <w:pPr>
        <w:spacing w:before="100" w:beforeAutospacing="1" w:after="100" w:afterAutospacing="1" w:line="240" w:lineRule="auto"/>
        <w:jc w:val="both"/>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 approvals, if any, required under any other law.</w:t>
      </w:r>
    </w:p>
    <w:p w:rsidR="003B7C18" w:rsidRPr="003B7C18" w:rsidRDefault="003B7C18" w:rsidP="003B7C18">
      <w:pPr>
        <w:spacing w:before="100" w:beforeAutospacing="1" w:after="100" w:afterAutospacing="1" w:line="240" w:lineRule="auto"/>
        <w:jc w:val="right"/>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Yours faithfully</w:t>
      </w:r>
    </w:p>
    <w:p w:rsidR="003B7C18" w:rsidRDefault="003B7C18" w:rsidP="003B7C18">
      <w:pPr>
        <w:spacing w:before="100" w:beforeAutospacing="1" w:after="100" w:afterAutospacing="1" w:line="240" w:lineRule="auto"/>
        <w:jc w:val="right"/>
        <w:rPr>
          <w:rFonts w:ascii="Arial" w:eastAsia="Times New Roman" w:hAnsi="Arial" w:cs="Arial"/>
          <w:color w:val="000000"/>
          <w:sz w:val="20"/>
          <w:szCs w:val="20"/>
          <w:lang w:eastAsia="en-IN"/>
        </w:rPr>
      </w:pPr>
      <w:r w:rsidRPr="003B7C18">
        <w:rPr>
          <w:rFonts w:ascii="Arial" w:eastAsia="Times New Roman" w:hAnsi="Arial" w:cs="Arial"/>
          <w:b/>
          <w:bCs/>
          <w:color w:val="000000"/>
          <w:sz w:val="20"/>
          <w:szCs w:val="20"/>
          <w:lang w:eastAsia="en-IN"/>
        </w:rPr>
        <w:t>(</w:t>
      </w:r>
      <w:proofErr w:type="spellStart"/>
      <w:r w:rsidRPr="003B7C18">
        <w:rPr>
          <w:rFonts w:ascii="Arial" w:eastAsia="Times New Roman" w:hAnsi="Arial" w:cs="Arial"/>
          <w:b/>
          <w:bCs/>
          <w:color w:val="000000"/>
          <w:sz w:val="20"/>
          <w:szCs w:val="20"/>
          <w:lang w:eastAsia="en-IN"/>
        </w:rPr>
        <w:t>Dr.</w:t>
      </w:r>
      <w:proofErr w:type="spellEnd"/>
      <w:r w:rsidRPr="003B7C18">
        <w:rPr>
          <w:rFonts w:ascii="Arial" w:eastAsia="Times New Roman" w:hAnsi="Arial" w:cs="Arial"/>
          <w:b/>
          <w:bCs/>
          <w:color w:val="000000"/>
          <w:sz w:val="20"/>
          <w:szCs w:val="20"/>
          <w:lang w:eastAsia="en-IN"/>
        </w:rPr>
        <w:t xml:space="preserve"> Aditya </w:t>
      </w:r>
      <w:proofErr w:type="spellStart"/>
      <w:r w:rsidRPr="003B7C18">
        <w:rPr>
          <w:rFonts w:ascii="Arial" w:eastAsia="Times New Roman" w:hAnsi="Arial" w:cs="Arial"/>
          <w:b/>
          <w:bCs/>
          <w:color w:val="000000"/>
          <w:sz w:val="20"/>
          <w:szCs w:val="20"/>
          <w:lang w:eastAsia="en-IN"/>
        </w:rPr>
        <w:t>Gaiha</w:t>
      </w:r>
      <w:proofErr w:type="spellEnd"/>
      <w:r w:rsidRPr="003B7C18">
        <w:rPr>
          <w:rFonts w:ascii="Arial" w:eastAsia="Times New Roman" w:hAnsi="Arial" w:cs="Arial"/>
          <w:b/>
          <w:bCs/>
          <w:color w:val="000000"/>
          <w:sz w:val="20"/>
          <w:szCs w:val="20"/>
          <w:lang w:eastAsia="en-IN"/>
        </w:rPr>
        <w:t>)</w:t>
      </w:r>
      <w:r w:rsidRPr="003B7C18">
        <w:rPr>
          <w:rFonts w:ascii="Arial" w:eastAsia="Times New Roman" w:hAnsi="Arial" w:cs="Arial"/>
          <w:color w:val="000000"/>
          <w:sz w:val="20"/>
          <w:szCs w:val="20"/>
          <w:lang w:eastAsia="en-IN"/>
        </w:rPr>
        <w:br/>
        <w:t>Chief General Manager-in-Charge</w:t>
      </w:r>
    </w:p>
    <w:p w:rsidR="003B7C18" w:rsidRDefault="003B7C18" w:rsidP="003B7C18">
      <w:pPr>
        <w:spacing w:before="100" w:beforeAutospacing="1" w:after="100" w:afterAutospacing="1" w:line="240" w:lineRule="auto"/>
        <w:rPr>
          <w:rFonts w:ascii="Arial" w:eastAsia="Times New Roman" w:hAnsi="Arial" w:cs="Arial"/>
          <w:color w:val="000000"/>
          <w:sz w:val="20"/>
          <w:szCs w:val="20"/>
          <w:lang w:eastAsia="en-IN"/>
        </w:rPr>
      </w:pPr>
      <w:r w:rsidRPr="003B7C18">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p>
    <w:p w:rsidR="003B7C18" w:rsidRDefault="003B7C18" w:rsidP="003B7C18">
      <w:pPr>
        <w:spacing w:before="100" w:beforeAutospacing="1" w:after="100" w:afterAutospacing="1" w:line="240" w:lineRule="auto"/>
        <w:rPr>
          <w:rFonts w:ascii="Arial" w:eastAsia="Times New Roman" w:hAnsi="Arial" w:cs="Arial"/>
          <w:color w:val="000000"/>
          <w:sz w:val="20"/>
          <w:szCs w:val="20"/>
          <w:lang w:eastAsia="en-IN"/>
        </w:rPr>
      </w:pPr>
      <w:hyperlink r:id="rId69" w:history="1">
        <w:r w:rsidRPr="00692C03">
          <w:rPr>
            <w:rStyle w:val="Hyperlink"/>
            <w:rFonts w:ascii="Arial" w:eastAsia="Times New Roman" w:hAnsi="Arial" w:cs="Arial"/>
            <w:sz w:val="20"/>
            <w:szCs w:val="20"/>
            <w:lang w:eastAsia="en-IN"/>
          </w:rPr>
          <w:t>https://www.rbi.org.in/Scripts/NotificationUser.aspx?Id=12686&amp;Mode=0</w:t>
        </w:r>
      </w:hyperlink>
      <w:r>
        <w:rPr>
          <w:rFonts w:ascii="Arial" w:eastAsia="Times New Roman" w:hAnsi="Arial" w:cs="Arial"/>
          <w:color w:val="000000"/>
          <w:sz w:val="20"/>
          <w:szCs w:val="20"/>
          <w:lang w:eastAsia="en-IN"/>
        </w:rPr>
        <w:t xml:space="preserve"> </w:t>
      </w:r>
    </w:p>
    <w:p w:rsidR="006C1AEC" w:rsidRDefault="006C1AEC" w:rsidP="003B7C18">
      <w:pPr>
        <w:spacing w:before="100" w:beforeAutospacing="1" w:after="100" w:afterAutospacing="1" w:line="240" w:lineRule="auto"/>
        <w:rPr>
          <w:rFonts w:ascii="Arial" w:eastAsia="Times New Roman" w:hAnsi="Arial" w:cs="Arial"/>
          <w:color w:val="000000"/>
          <w:sz w:val="20"/>
          <w:szCs w:val="20"/>
          <w:lang w:eastAsia="en-IN"/>
        </w:rPr>
      </w:pPr>
    </w:p>
    <w:p w:rsidR="006C1AEC" w:rsidRDefault="006C1AEC" w:rsidP="003B7C18">
      <w:pPr>
        <w:spacing w:before="100" w:beforeAutospacing="1" w:after="100" w:afterAutospacing="1" w:line="240" w:lineRule="auto"/>
        <w:rPr>
          <w:rFonts w:ascii="Arial" w:eastAsia="Times New Roman" w:hAnsi="Arial" w:cs="Arial"/>
          <w:color w:val="000000"/>
          <w:sz w:val="20"/>
          <w:szCs w:val="20"/>
          <w:lang w:eastAsia="en-IN"/>
        </w:rPr>
      </w:pPr>
    </w:p>
    <w:p w:rsidR="006C1AEC" w:rsidRDefault="006C1AEC" w:rsidP="003B7C18">
      <w:pPr>
        <w:spacing w:before="100" w:beforeAutospacing="1" w:after="100" w:afterAutospacing="1" w:line="240" w:lineRule="auto"/>
        <w:rPr>
          <w:rFonts w:ascii="Arial" w:eastAsia="Times New Roman" w:hAnsi="Arial" w:cs="Arial"/>
          <w:color w:val="000000"/>
          <w:sz w:val="20"/>
          <w:szCs w:val="20"/>
          <w:lang w:eastAsia="en-IN"/>
        </w:rPr>
      </w:pPr>
    </w:p>
    <w:p w:rsidR="006C1AEC" w:rsidRDefault="006C1AEC" w:rsidP="003B7C18">
      <w:pPr>
        <w:spacing w:before="100" w:beforeAutospacing="1" w:after="100" w:afterAutospacing="1" w:line="240" w:lineRule="auto"/>
        <w:rPr>
          <w:rFonts w:ascii="Arial" w:eastAsia="Times New Roman" w:hAnsi="Arial" w:cs="Arial"/>
          <w:color w:val="000000"/>
          <w:sz w:val="20"/>
          <w:szCs w:val="20"/>
          <w:lang w:eastAsia="en-IN"/>
        </w:rPr>
      </w:pPr>
    </w:p>
    <w:p w:rsidR="006C1AEC" w:rsidRDefault="006C1AEC" w:rsidP="003B7C18">
      <w:pPr>
        <w:spacing w:before="100" w:beforeAutospacing="1" w:after="100" w:afterAutospacing="1" w:line="240" w:lineRule="auto"/>
        <w:rPr>
          <w:rFonts w:ascii="Arial" w:eastAsia="Times New Roman" w:hAnsi="Arial" w:cs="Arial"/>
          <w:color w:val="000000"/>
          <w:sz w:val="20"/>
          <w:szCs w:val="20"/>
          <w:lang w:eastAsia="en-IN"/>
        </w:rPr>
      </w:pPr>
    </w:p>
    <w:p w:rsidR="006C1AEC" w:rsidRPr="006C1AEC" w:rsidRDefault="006C1AEC" w:rsidP="006C1AEC">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Master Direction - Reserve Bank of India (Interest Rate on Deposits) Directions, 2016</w:t>
      </w:r>
    </w:p>
    <w:p w:rsidR="006C1AEC" w:rsidRDefault="006C1AEC" w:rsidP="006C1AEC">
      <w:pPr>
        <w:pStyle w:val="NormalWeb"/>
        <w:jc w:val="both"/>
        <w:rPr>
          <w:rFonts w:ascii="Arial" w:hAnsi="Arial" w:cs="Arial"/>
          <w:color w:val="000000"/>
          <w:sz w:val="20"/>
          <w:szCs w:val="20"/>
        </w:rPr>
      </w:pPr>
      <w:r>
        <w:rPr>
          <w:rFonts w:ascii="Arial" w:hAnsi="Arial" w:cs="Arial"/>
          <w:color w:val="000000"/>
          <w:sz w:val="20"/>
          <w:szCs w:val="20"/>
        </w:rPr>
        <w:t>RBI/2024-25/40</w:t>
      </w:r>
      <w:r>
        <w:rPr>
          <w:rFonts w:ascii="Arial" w:hAnsi="Arial" w:cs="Arial"/>
          <w:color w:val="000000"/>
          <w:sz w:val="20"/>
          <w:szCs w:val="20"/>
        </w:rPr>
        <w:br/>
        <w:t>DoR.SPE.REC.No.24/13.03.00/2024-2025</w:t>
      </w:r>
    </w:p>
    <w:p w:rsidR="006C1AEC" w:rsidRDefault="006C1AEC" w:rsidP="006C1AEC">
      <w:pPr>
        <w:pStyle w:val="NormalWeb"/>
        <w:jc w:val="right"/>
        <w:rPr>
          <w:rFonts w:ascii="Arial" w:hAnsi="Arial" w:cs="Arial"/>
          <w:color w:val="000000"/>
          <w:sz w:val="20"/>
          <w:szCs w:val="20"/>
        </w:rPr>
      </w:pPr>
      <w:r>
        <w:rPr>
          <w:rFonts w:ascii="Arial" w:hAnsi="Arial" w:cs="Arial"/>
          <w:color w:val="000000"/>
          <w:sz w:val="20"/>
          <w:szCs w:val="20"/>
        </w:rPr>
        <w:t>June 07, 2024</w:t>
      </w:r>
    </w:p>
    <w:p w:rsidR="006C1AEC" w:rsidRDefault="006C1AEC" w:rsidP="006C1AEC">
      <w:pPr>
        <w:pStyle w:val="NormalWeb"/>
        <w:rPr>
          <w:rFonts w:ascii="Arial" w:hAnsi="Arial" w:cs="Arial"/>
          <w:color w:val="000000"/>
          <w:sz w:val="20"/>
          <w:szCs w:val="20"/>
        </w:rPr>
      </w:pPr>
      <w:r>
        <w:rPr>
          <w:rFonts w:ascii="Arial" w:hAnsi="Arial" w:cs="Arial"/>
          <w:color w:val="000000"/>
          <w:sz w:val="20"/>
          <w:szCs w:val="20"/>
        </w:rPr>
        <w:t>All Scheduled Commercial Banks (excluding RRBs</w:t>
      </w:r>
      <w:proofErr w:type="gramStart"/>
      <w:r>
        <w:rPr>
          <w:rFonts w:ascii="Arial" w:hAnsi="Arial" w:cs="Arial"/>
          <w:color w:val="000000"/>
          <w:sz w:val="20"/>
          <w:szCs w:val="20"/>
        </w:rPr>
        <w:t>)</w:t>
      </w:r>
      <w:proofErr w:type="gramEnd"/>
      <w:r>
        <w:rPr>
          <w:rFonts w:ascii="Arial" w:hAnsi="Arial" w:cs="Arial"/>
          <w:color w:val="000000"/>
          <w:sz w:val="20"/>
          <w:szCs w:val="20"/>
        </w:rPr>
        <w:br/>
        <w:t>All Small Finance Banks</w:t>
      </w:r>
      <w:r>
        <w:rPr>
          <w:rFonts w:ascii="Arial" w:hAnsi="Arial" w:cs="Arial"/>
          <w:color w:val="000000"/>
          <w:sz w:val="20"/>
          <w:szCs w:val="20"/>
        </w:rPr>
        <w:br/>
        <w:t>All Local Area Banks</w:t>
      </w:r>
    </w:p>
    <w:p w:rsidR="006C1AEC" w:rsidRDefault="006C1AEC" w:rsidP="006C1AEC">
      <w:pPr>
        <w:pStyle w:val="NormalWeb"/>
        <w:jc w:val="both"/>
        <w:rPr>
          <w:rFonts w:ascii="Arial" w:hAnsi="Arial" w:cs="Arial"/>
          <w:color w:val="000000"/>
          <w:sz w:val="20"/>
          <w:szCs w:val="20"/>
        </w:rPr>
      </w:pPr>
      <w:r>
        <w:rPr>
          <w:rFonts w:ascii="Arial" w:hAnsi="Arial" w:cs="Arial"/>
          <w:color w:val="000000"/>
          <w:sz w:val="20"/>
          <w:szCs w:val="20"/>
        </w:rPr>
        <w:t>Madam / Sir,</w:t>
      </w:r>
    </w:p>
    <w:p w:rsidR="006C1AEC" w:rsidRDefault="006C1AEC" w:rsidP="006C1AEC">
      <w:pPr>
        <w:pStyle w:val="head"/>
        <w:jc w:val="center"/>
        <w:rPr>
          <w:rFonts w:ascii="Arial" w:hAnsi="Arial" w:cs="Arial"/>
          <w:b/>
          <w:bCs/>
          <w:color w:val="000000"/>
          <w:sz w:val="20"/>
          <w:szCs w:val="20"/>
        </w:rPr>
      </w:pPr>
      <w:r>
        <w:rPr>
          <w:rFonts w:ascii="Arial" w:hAnsi="Arial" w:cs="Arial"/>
          <w:b/>
          <w:bCs/>
          <w:color w:val="000000"/>
          <w:sz w:val="20"/>
          <w:szCs w:val="20"/>
        </w:rPr>
        <w:t>Amendment to Master Direction - Reserve Bank of India (Interest Rate on Deposits) Directions, 2016</w:t>
      </w:r>
    </w:p>
    <w:p w:rsidR="006C1AEC" w:rsidRDefault="006C1AEC" w:rsidP="006C1AEC">
      <w:pPr>
        <w:pStyle w:val="NormalWeb"/>
        <w:jc w:val="both"/>
        <w:rPr>
          <w:rFonts w:ascii="Arial" w:hAnsi="Arial" w:cs="Arial"/>
          <w:color w:val="000000"/>
          <w:sz w:val="20"/>
          <w:szCs w:val="20"/>
        </w:rPr>
      </w:pPr>
      <w:r>
        <w:rPr>
          <w:rFonts w:ascii="Arial" w:hAnsi="Arial" w:cs="Arial"/>
          <w:color w:val="000000"/>
          <w:sz w:val="20"/>
          <w:szCs w:val="20"/>
        </w:rPr>
        <w:t>Please refer to paragraph 3(a</w:t>
      </w:r>
      <w:proofErr w:type="gramStart"/>
      <w:r>
        <w:rPr>
          <w:rFonts w:ascii="Arial" w:hAnsi="Arial" w:cs="Arial"/>
          <w:color w:val="000000"/>
          <w:sz w:val="20"/>
          <w:szCs w:val="20"/>
        </w:rPr>
        <w:t>)(</w:t>
      </w:r>
      <w:proofErr w:type="spellStart"/>
      <w:proofErr w:type="gramEnd"/>
      <w:r>
        <w:rPr>
          <w:rFonts w:ascii="Arial" w:hAnsi="Arial" w:cs="Arial"/>
          <w:color w:val="000000"/>
          <w:sz w:val="20"/>
          <w:szCs w:val="20"/>
        </w:rPr>
        <w:t>i</w:t>
      </w:r>
      <w:proofErr w:type="spellEnd"/>
      <w:r>
        <w:rPr>
          <w:rFonts w:ascii="Arial" w:hAnsi="Arial" w:cs="Arial"/>
          <w:color w:val="000000"/>
          <w:sz w:val="20"/>
          <w:szCs w:val="20"/>
        </w:rPr>
        <w:t>) of the </w:t>
      </w:r>
      <w:hyperlink r:id="rId70" w:anchor="2" w:tgtFrame="_blank" w:history="1">
        <w:r>
          <w:rPr>
            <w:rStyle w:val="Hyperlink"/>
            <w:rFonts w:ascii="Arial" w:hAnsi="Arial" w:cs="Arial"/>
            <w:sz w:val="20"/>
            <w:szCs w:val="20"/>
            <w:u w:val="none"/>
          </w:rPr>
          <w:t>Master Direction - Reserve Bank of India (Interest Rate on Deposits) Directions, 2016 dated March 03, 2016</w:t>
        </w:r>
      </w:hyperlink>
      <w:r>
        <w:rPr>
          <w:rFonts w:ascii="Arial" w:hAnsi="Arial" w:cs="Arial"/>
          <w:color w:val="000000"/>
          <w:sz w:val="20"/>
          <w:szCs w:val="20"/>
        </w:rPr>
        <w:t>, wherein the definition of “Bulk Deposits” has been prescribed.</w:t>
      </w:r>
    </w:p>
    <w:p w:rsidR="006C1AEC" w:rsidRDefault="006C1AEC" w:rsidP="006C1AEC">
      <w:pPr>
        <w:pStyle w:val="NormalWeb"/>
        <w:jc w:val="both"/>
        <w:rPr>
          <w:rFonts w:ascii="Arial" w:hAnsi="Arial" w:cs="Arial"/>
          <w:color w:val="000000"/>
          <w:sz w:val="20"/>
          <w:szCs w:val="20"/>
        </w:rPr>
      </w:pPr>
      <w:r>
        <w:rPr>
          <w:rFonts w:ascii="Arial" w:hAnsi="Arial" w:cs="Arial"/>
          <w:color w:val="000000"/>
          <w:sz w:val="20"/>
          <w:szCs w:val="20"/>
        </w:rPr>
        <w:t xml:space="preserve">2. On a review,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revise the definition of bulk deposits for all Scheduled Commercial Banks (excluding RRBs), Small Finance Banks and Local Area Banks. The term “Bulk Deposit” would now mean:</w:t>
      </w:r>
    </w:p>
    <w:p w:rsidR="006C1AEC" w:rsidRDefault="006C1AEC" w:rsidP="006C1AEC">
      <w:pPr>
        <w:pStyle w:val="NormalWeb"/>
        <w:numPr>
          <w:ilvl w:val="0"/>
          <w:numId w:val="11"/>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three</w:t>
      </w:r>
      <w:proofErr w:type="gramEnd"/>
      <w:r>
        <w:rPr>
          <w:rFonts w:ascii="Arial" w:hAnsi="Arial" w:cs="Arial"/>
          <w:color w:val="000000"/>
          <w:sz w:val="20"/>
          <w:szCs w:val="20"/>
        </w:rPr>
        <w:t xml:space="preserve"> crore and above for Scheduled Commercial Banks (excluding RRBs) and Small Finance Banks.</w:t>
      </w:r>
    </w:p>
    <w:p w:rsidR="006C1AEC" w:rsidRDefault="006C1AEC" w:rsidP="006C1AEC">
      <w:pPr>
        <w:pStyle w:val="NormalWeb"/>
        <w:numPr>
          <w:ilvl w:val="0"/>
          <w:numId w:val="11"/>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one</w:t>
      </w:r>
      <w:proofErr w:type="gramEnd"/>
      <w:r>
        <w:rPr>
          <w:rFonts w:ascii="Arial" w:hAnsi="Arial" w:cs="Arial"/>
          <w:color w:val="000000"/>
          <w:sz w:val="20"/>
          <w:szCs w:val="20"/>
        </w:rPr>
        <w:t xml:space="preserve"> crore and above for Local Area Banks as applicable in case of Regional Rural Banks.</w:t>
      </w:r>
    </w:p>
    <w:p w:rsidR="006C1AEC" w:rsidRDefault="006C1AEC" w:rsidP="006C1AEC">
      <w:pPr>
        <w:pStyle w:val="NormalWeb"/>
        <w:jc w:val="both"/>
        <w:rPr>
          <w:rFonts w:ascii="Arial" w:hAnsi="Arial" w:cs="Arial"/>
          <w:color w:val="000000"/>
          <w:sz w:val="20"/>
          <w:szCs w:val="20"/>
        </w:rPr>
      </w:pPr>
      <w:r>
        <w:rPr>
          <w:rFonts w:ascii="Arial" w:hAnsi="Arial" w:cs="Arial"/>
          <w:color w:val="000000"/>
          <w:sz w:val="20"/>
          <w:szCs w:val="20"/>
        </w:rPr>
        <w:t xml:space="preserve">3. The relevant provisions of the Master Direction </w:t>
      </w:r>
      <w:proofErr w:type="gramStart"/>
      <w:r>
        <w:rPr>
          <w:rFonts w:ascii="Arial" w:hAnsi="Arial" w:cs="Arial"/>
          <w:color w:val="000000"/>
          <w:sz w:val="20"/>
          <w:szCs w:val="20"/>
        </w:rPr>
        <w:t>are being modified</w:t>
      </w:r>
      <w:proofErr w:type="gramEnd"/>
      <w:r>
        <w:rPr>
          <w:rFonts w:ascii="Arial" w:hAnsi="Arial" w:cs="Arial"/>
          <w:color w:val="000000"/>
          <w:sz w:val="20"/>
          <w:szCs w:val="20"/>
        </w:rPr>
        <w:t xml:space="preserve"> to reflect the changes as given in the </w:t>
      </w:r>
      <w:hyperlink r:id="rId71" w:anchor="ANN" w:history="1">
        <w:r>
          <w:rPr>
            <w:rStyle w:val="Hyperlink"/>
            <w:rFonts w:ascii="Arial" w:hAnsi="Arial" w:cs="Arial"/>
            <w:sz w:val="20"/>
            <w:szCs w:val="20"/>
            <w:u w:val="none"/>
          </w:rPr>
          <w:t>Annex</w:t>
        </w:r>
      </w:hyperlink>
      <w:r>
        <w:rPr>
          <w:rFonts w:ascii="Arial" w:hAnsi="Arial" w:cs="Arial"/>
          <w:color w:val="000000"/>
          <w:sz w:val="20"/>
          <w:szCs w:val="20"/>
        </w:rPr>
        <w:t>. All other instructions in this regard shall remain unchanged.</w:t>
      </w:r>
    </w:p>
    <w:p w:rsidR="006C1AEC" w:rsidRDefault="006C1AEC" w:rsidP="006C1AEC">
      <w:pPr>
        <w:pStyle w:val="NormalWeb"/>
        <w:jc w:val="both"/>
        <w:rPr>
          <w:rFonts w:ascii="Arial" w:hAnsi="Arial" w:cs="Arial"/>
          <w:color w:val="000000"/>
          <w:sz w:val="20"/>
          <w:szCs w:val="20"/>
        </w:rPr>
      </w:pPr>
      <w:r>
        <w:rPr>
          <w:rFonts w:ascii="Arial" w:hAnsi="Arial" w:cs="Arial"/>
          <w:color w:val="000000"/>
          <w:sz w:val="20"/>
          <w:szCs w:val="20"/>
        </w:rPr>
        <w:t xml:space="preserve">4.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by Section 35A of the Banking Regulation Act, 1949.</w:t>
      </w:r>
    </w:p>
    <w:p w:rsidR="006C1AEC" w:rsidRDefault="006C1AEC" w:rsidP="006C1AEC">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6C1AEC" w:rsidRDefault="006C1AEC" w:rsidP="006C1AEC">
      <w:pPr>
        <w:pStyle w:val="NormalWeb"/>
        <w:jc w:val="both"/>
        <w:rPr>
          <w:rFonts w:ascii="Arial" w:hAnsi="Arial" w:cs="Arial"/>
          <w:color w:val="000000"/>
          <w:sz w:val="20"/>
          <w:szCs w:val="20"/>
        </w:rPr>
      </w:pPr>
      <w:r>
        <w:rPr>
          <w:rFonts w:ascii="Arial" w:hAnsi="Arial" w:cs="Arial"/>
          <w:color w:val="000000"/>
          <w:sz w:val="20"/>
          <w:szCs w:val="20"/>
        </w:rPr>
        <w:t>5. These instructions shall be applicable to all Scheduled Commercial Banks (excluding RRBs), Small Finance Banks and Local Area Banks.</w:t>
      </w:r>
    </w:p>
    <w:p w:rsidR="006C1AEC" w:rsidRDefault="006C1AEC" w:rsidP="006C1AEC">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6C1AEC" w:rsidRDefault="006C1AEC" w:rsidP="006C1AEC">
      <w:pPr>
        <w:pStyle w:val="NormalWeb"/>
        <w:jc w:val="both"/>
        <w:rPr>
          <w:rFonts w:ascii="Arial" w:hAnsi="Arial" w:cs="Arial"/>
          <w:color w:val="000000"/>
          <w:sz w:val="20"/>
          <w:szCs w:val="20"/>
        </w:rPr>
      </w:pPr>
      <w:r>
        <w:rPr>
          <w:rFonts w:ascii="Arial" w:hAnsi="Arial" w:cs="Arial"/>
          <w:color w:val="000000"/>
          <w:sz w:val="20"/>
          <w:szCs w:val="20"/>
        </w:rPr>
        <w:t>These instructions shall come into force with immediate effect.</w:t>
      </w:r>
    </w:p>
    <w:p w:rsidR="006C1AEC" w:rsidRDefault="006C1AEC" w:rsidP="006C1AEC">
      <w:pPr>
        <w:pStyle w:val="NormalWeb"/>
        <w:jc w:val="both"/>
        <w:rPr>
          <w:rFonts w:ascii="Arial" w:hAnsi="Arial" w:cs="Arial"/>
          <w:color w:val="000000"/>
          <w:sz w:val="20"/>
          <w:szCs w:val="20"/>
        </w:rPr>
      </w:pPr>
      <w:r>
        <w:rPr>
          <w:rFonts w:ascii="Arial" w:hAnsi="Arial" w:cs="Arial"/>
          <w:color w:val="000000"/>
          <w:sz w:val="20"/>
          <w:szCs w:val="20"/>
        </w:rPr>
        <w:t>Yours faithfully,</w:t>
      </w:r>
    </w:p>
    <w:p w:rsidR="006C1AEC" w:rsidRDefault="006C1AEC" w:rsidP="006C1AE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Latha</w:t>
      </w:r>
      <w:proofErr w:type="spellEnd"/>
      <w:r>
        <w:rPr>
          <w:rFonts w:ascii="Arial" w:hAnsi="Arial" w:cs="Arial"/>
          <w:color w:val="000000"/>
          <w:sz w:val="20"/>
          <w:szCs w:val="20"/>
        </w:rPr>
        <w:t xml:space="preserve"> </w:t>
      </w:r>
      <w:proofErr w:type="spellStart"/>
      <w:r>
        <w:rPr>
          <w:rFonts w:ascii="Arial" w:hAnsi="Arial" w:cs="Arial"/>
          <w:color w:val="000000"/>
          <w:sz w:val="20"/>
          <w:szCs w:val="20"/>
        </w:rPr>
        <w:t>Vishwanath</w:t>
      </w:r>
      <w:proofErr w:type="spellEnd"/>
      <w:r>
        <w:rPr>
          <w:rFonts w:ascii="Arial" w:hAnsi="Arial" w:cs="Arial"/>
          <w:color w:val="000000"/>
          <w:sz w:val="20"/>
          <w:szCs w:val="20"/>
        </w:rPr>
        <w:t>)</w:t>
      </w:r>
      <w:r>
        <w:rPr>
          <w:rFonts w:ascii="Arial" w:hAnsi="Arial" w:cs="Arial"/>
          <w:color w:val="000000"/>
          <w:sz w:val="20"/>
          <w:szCs w:val="20"/>
        </w:rPr>
        <w:br/>
        <w:t>Chief General Manager</w:t>
      </w:r>
    </w:p>
    <w:p w:rsidR="006C1AEC" w:rsidRDefault="006C1AEC" w:rsidP="006C1AEC">
      <w:pPr>
        <w:pStyle w:val="NormalWeb"/>
        <w:rPr>
          <w:rFonts w:ascii="Arial" w:hAnsi="Arial" w:cs="Arial"/>
          <w:color w:val="000000"/>
          <w:sz w:val="20"/>
          <w:szCs w:val="20"/>
        </w:rPr>
      </w:pPr>
      <w:r w:rsidRPr="006C1AEC">
        <w:rPr>
          <w:rFonts w:ascii="Arial" w:hAnsi="Arial" w:cs="Arial"/>
          <w:color w:val="000000"/>
          <w:sz w:val="20"/>
          <w:szCs w:val="20"/>
        </w:rPr>
        <w:t>For more details, kindly refer:</w:t>
      </w:r>
    </w:p>
    <w:p w:rsidR="003B7C18" w:rsidRPr="00FF71D4" w:rsidRDefault="006C1AEC" w:rsidP="009A4AE9">
      <w:pPr>
        <w:pStyle w:val="NormalWeb"/>
        <w:rPr>
          <w:rFonts w:ascii="Arial" w:hAnsi="Arial" w:cs="Arial"/>
          <w:bCs/>
          <w:color w:val="000000"/>
          <w:sz w:val="20"/>
          <w:szCs w:val="20"/>
        </w:rPr>
      </w:pPr>
      <w:hyperlink r:id="rId72" w:history="1">
        <w:r w:rsidRPr="00692C03">
          <w:rPr>
            <w:rStyle w:val="Hyperlink"/>
            <w:rFonts w:ascii="Arial" w:hAnsi="Arial" w:cs="Arial"/>
            <w:sz w:val="20"/>
            <w:szCs w:val="20"/>
          </w:rPr>
          <w:t>https://www.rbi.org.in/Scripts/NotificationUser.aspx?Id=12690&amp;Mode=0</w:t>
        </w:r>
      </w:hyperlink>
      <w:r>
        <w:rPr>
          <w:rFonts w:ascii="Arial" w:hAnsi="Arial" w:cs="Arial"/>
          <w:color w:val="000000"/>
          <w:sz w:val="20"/>
          <w:szCs w:val="20"/>
        </w:rPr>
        <w:t xml:space="preserve"> </w:t>
      </w:r>
      <w:bookmarkStart w:id="0" w:name="_GoBack"/>
      <w:bookmarkEnd w:id="0"/>
    </w:p>
    <w:p w:rsidR="00163CFD" w:rsidRDefault="00163CFD"/>
    <w:sectPr w:rsidR="00163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F564D"/>
    <w:multiLevelType w:val="multilevel"/>
    <w:tmpl w:val="2E26F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8595D0D"/>
    <w:multiLevelType w:val="multilevel"/>
    <w:tmpl w:val="1B32C7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9FE60E7"/>
    <w:multiLevelType w:val="multilevel"/>
    <w:tmpl w:val="90CEB1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1091B0B"/>
    <w:multiLevelType w:val="multilevel"/>
    <w:tmpl w:val="7CE289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21505C1"/>
    <w:multiLevelType w:val="multilevel"/>
    <w:tmpl w:val="DFB23B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6A476D5"/>
    <w:multiLevelType w:val="multilevel"/>
    <w:tmpl w:val="4B9053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777185C"/>
    <w:multiLevelType w:val="multilevel"/>
    <w:tmpl w:val="57CA3D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688746D7"/>
    <w:multiLevelType w:val="multilevel"/>
    <w:tmpl w:val="DAA809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69982A32"/>
    <w:multiLevelType w:val="multilevel"/>
    <w:tmpl w:val="F59C1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D6E6406"/>
    <w:multiLevelType w:val="multilevel"/>
    <w:tmpl w:val="151056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A9D1D4F"/>
    <w:multiLevelType w:val="multilevel"/>
    <w:tmpl w:val="12F6E23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8"/>
  </w:num>
  <w:num w:numId="2">
    <w:abstractNumId w:val="4"/>
  </w:num>
  <w:num w:numId="3">
    <w:abstractNumId w:val="3"/>
  </w:num>
  <w:num w:numId="4">
    <w:abstractNumId w:val="10"/>
  </w:num>
  <w:num w:numId="5">
    <w:abstractNumId w:val="9"/>
  </w:num>
  <w:num w:numId="6">
    <w:abstractNumId w:val="0"/>
  </w:num>
  <w:num w:numId="7">
    <w:abstractNumId w:val="5"/>
  </w:num>
  <w:num w:numId="8">
    <w:abstractNumId w:val="2"/>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1C"/>
    <w:rsid w:val="00163CFD"/>
    <w:rsid w:val="001A16F7"/>
    <w:rsid w:val="00310DD8"/>
    <w:rsid w:val="003B7C18"/>
    <w:rsid w:val="00492A34"/>
    <w:rsid w:val="005061D6"/>
    <w:rsid w:val="006C1AEC"/>
    <w:rsid w:val="007152D1"/>
    <w:rsid w:val="007410DB"/>
    <w:rsid w:val="008176BF"/>
    <w:rsid w:val="00825000"/>
    <w:rsid w:val="00885D87"/>
    <w:rsid w:val="0090662A"/>
    <w:rsid w:val="00914256"/>
    <w:rsid w:val="009214FA"/>
    <w:rsid w:val="009A4AE9"/>
    <w:rsid w:val="009D578D"/>
    <w:rsid w:val="00A94B11"/>
    <w:rsid w:val="00B737F0"/>
    <w:rsid w:val="00C662FA"/>
    <w:rsid w:val="00D670DE"/>
    <w:rsid w:val="00E8321C"/>
    <w:rsid w:val="00F02067"/>
    <w:rsid w:val="00F4215D"/>
    <w:rsid w:val="00FA1AD1"/>
    <w:rsid w:val="00FA5F54"/>
    <w:rsid w:val="00FF71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5032"/>
  <w15:chartTrackingRefBased/>
  <w15:docId w15:val="{00034355-8819-44D1-8054-BDBBB946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A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1AD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FA1A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FA1AD1"/>
    <w:rPr>
      <w:color w:val="0000FF"/>
      <w:u w:val="single"/>
    </w:rPr>
  </w:style>
  <w:style w:type="character" w:customStyle="1" w:styleId="head1">
    <w:name w:val="head1"/>
    <w:basedOn w:val="DefaultParagraphFont"/>
    <w:rsid w:val="00FA1AD1"/>
  </w:style>
  <w:style w:type="character" w:styleId="Emphasis">
    <w:name w:val="Emphasis"/>
    <w:basedOn w:val="DefaultParagraphFont"/>
    <w:uiPriority w:val="20"/>
    <w:qFormat/>
    <w:rsid w:val="00885D87"/>
    <w:rPr>
      <w:i/>
      <w:iCs/>
    </w:rPr>
  </w:style>
  <w:style w:type="character" w:styleId="Strong">
    <w:name w:val="Strong"/>
    <w:basedOn w:val="DefaultParagraphFont"/>
    <w:uiPriority w:val="22"/>
    <w:qFormat/>
    <w:rsid w:val="00FF7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598">
      <w:bodyDiv w:val="1"/>
      <w:marLeft w:val="0"/>
      <w:marRight w:val="0"/>
      <w:marTop w:val="0"/>
      <w:marBottom w:val="0"/>
      <w:divBdr>
        <w:top w:val="none" w:sz="0" w:space="0" w:color="auto"/>
        <w:left w:val="none" w:sz="0" w:space="0" w:color="auto"/>
        <w:bottom w:val="none" w:sz="0" w:space="0" w:color="auto"/>
        <w:right w:val="none" w:sz="0" w:space="0" w:color="auto"/>
      </w:divBdr>
    </w:div>
    <w:div w:id="110830645">
      <w:bodyDiv w:val="1"/>
      <w:marLeft w:val="0"/>
      <w:marRight w:val="0"/>
      <w:marTop w:val="0"/>
      <w:marBottom w:val="0"/>
      <w:divBdr>
        <w:top w:val="none" w:sz="0" w:space="0" w:color="auto"/>
        <w:left w:val="none" w:sz="0" w:space="0" w:color="auto"/>
        <w:bottom w:val="none" w:sz="0" w:space="0" w:color="auto"/>
        <w:right w:val="none" w:sz="0" w:space="0" w:color="auto"/>
      </w:divBdr>
    </w:div>
    <w:div w:id="219024798">
      <w:bodyDiv w:val="1"/>
      <w:marLeft w:val="0"/>
      <w:marRight w:val="0"/>
      <w:marTop w:val="0"/>
      <w:marBottom w:val="0"/>
      <w:divBdr>
        <w:top w:val="none" w:sz="0" w:space="0" w:color="auto"/>
        <w:left w:val="none" w:sz="0" w:space="0" w:color="auto"/>
        <w:bottom w:val="none" w:sz="0" w:space="0" w:color="auto"/>
        <w:right w:val="none" w:sz="0" w:space="0" w:color="auto"/>
      </w:divBdr>
    </w:div>
    <w:div w:id="252057795">
      <w:bodyDiv w:val="1"/>
      <w:marLeft w:val="0"/>
      <w:marRight w:val="0"/>
      <w:marTop w:val="0"/>
      <w:marBottom w:val="0"/>
      <w:divBdr>
        <w:top w:val="none" w:sz="0" w:space="0" w:color="auto"/>
        <w:left w:val="none" w:sz="0" w:space="0" w:color="auto"/>
        <w:bottom w:val="none" w:sz="0" w:space="0" w:color="auto"/>
        <w:right w:val="none" w:sz="0" w:space="0" w:color="auto"/>
      </w:divBdr>
    </w:div>
    <w:div w:id="292252234">
      <w:bodyDiv w:val="1"/>
      <w:marLeft w:val="0"/>
      <w:marRight w:val="0"/>
      <w:marTop w:val="0"/>
      <w:marBottom w:val="0"/>
      <w:divBdr>
        <w:top w:val="none" w:sz="0" w:space="0" w:color="auto"/>
        <w:left w:val="none" w:sz="0" w:space="0" w:color="auto"/>
        <w:bottom w:val="none" w:sz="0" w:space="0" w:color="auto"/>
        <w:right w:val="none" w:sz="0" w:space="0" w:color="auto"/>
      </w:divBdr>
    </w:div>
    <w:div w:id="421605034">
      <w:bodyDiv w:val="1"/>
      <w:marLeft w:val="0"/>
      <w:marRight w:val="0"/>
      <w:marTop w:val="0"/>
      <w:marBottom w:val="0"/>
      <w:divBdr>
        <w:top w:val="none" w:sz="0" w:space="0" w:color="auto"/>
        <w:left w:val="none" w:sz="0" w:space="0" w:color="auto"/>
        <w:bottom w:val="none" w:sz="0" w:space="0" w:color="auto"/>
        <w:right w:val="none" w:sz="0" w:space="0" w:color="auto"/>
      </w:divBdr>
    </w:div>
    <w:div w:id="483473887">
      <w:bodyDiv w:val="1"/>
      <w:marLeft w:val="0"/>
      <w:marRight w:val="0"/>
      <w:marTop w:val="0"/>
      <w:marBottom w:val="0"/>
      <w:divBdr>
        <w:top w:val="none" w:sz="0" w:space="0" w:color="auto"/>
        <w:left w:val="none" w:sz="0" w:space="0" w:color="auto"/>
        <w:bottom w:val="none" w:sz="0" w:space="0" w:color="auto"/>
        <w:right w:val="none" w:sz="0" w:space="0" w:color="auto"/>
      </w:divBdr>
    </w:div>
    <w:div w:id="535700049">
      <w:bodyDiv w:val="1"/>
      <w:marLeft w:val="0"/>
      <w:marRight w:val="0"/>
      <w:marTop w:val="0"/>
      <w:marBottom w:val="0"/>
      <w:divBdr>
        <w:top w:val="none" w:sz="0" w:space="0" w:color="auto"/>
        <w:left w:val="none" w:sz="0" w:space="0" w:color="auto"/>
        <w:bottom w:val="none" w:sz="0" w:space="0" w:color="auto"/>
        <w:right w:val="none" w:sz="0" w:space="0" w:color="auto"/>
      </w:divBdr>
    </w:div>
    <w:div w:id="743600284">
      <w:bodyDiv w:val="1"/>
      <w:marLeft w:val="0"/>
      <w:marRight w:val="0"/>
      <w:marTop w:val="0"/>
      <w:marBottom w:val="0"/>
      <w:divBdr>
        <w:top w:val="none" w:sz="0" w:space="0" w:color="auto"/>
        <w:left w:val="none" w:sz="0" w:space="0" w:color="auto"/>
        <w:bottom w:val="none" w:sz="0" w:space="0" w:color="auto"/>
        <w:right w:val="none" w:sz="0" w:space="0" w:color="auto"/>
      </w:divBdr>
    </w:div>
    <w:div w:id="926497287">
      <w:bodyDiv w:val="1"/>
      <w:marLeft w:val="0"/>
      <w:marRight w:val="0"/>
      <w:marTop w:val="0"/>
      <w:marBottom w:val="0"/>
      <w:divBdr>
        <w:top w:val="none" w:sz="0" w:space="0" w:color="auto"/>
        <w:left w:val="none" w:sz="0" w:space="0" w:color="auto"/>
        <w:bottom w:val="none" w:sz="0" w:space="0" w:color="auto"/>
        <w:right w:val="none" w:sz="0" w:space="0" w:color="auto"/>
      </w:divBdr>
    </w:div>
    <w:div w:id="928973731">
      <w:bodyDiv w:val="1"/>
      <w:marLeft w:val="0"/>
      <w:marRight w:val="0"/>
      <w:marTop w:val="0"/>
      <w:marBottom w:val="0"/>
      <w:divBdr>
        <w:top w:val="none" w:sz="0" w:space="0" w:color="auto"/>
        <w:left w:val="none" w:sz="0" w:space="0" w:color="auto"/>
        <w:bottom w:val="none" w:sz="0" w:space="0" w:color="auto"/>
        <w:right w:val="none" w:sz="0" w:space="0" w:color="auto"/>
      </w:divBdr>
    </w:div>
    <w:div w:id="929193145">
      <w:bodyDiv w:val="1"/>
      <w:marLeft w:val="0"/>
      <w:marRight w:val="0"/>
      <w:marTop w:val="0"/>
      <w:marBottom w:val="0"/>
      <w:divBdr>
        <w:top w:val="none" w:sz="0" w:space="0" w:color="auto"/>
        <w:left w:val="none" w:sz="0" w:space="0" w:color="auto"/>
        <w:bottom w:val="none" w:sz="0" w:space="0" w:color="auto"/>
        <w:right w:val="none" w:sz="0" w:space="0" w:color="auto"/>
      </w:divBdr>
    </w:div>
    <w:div w:id="978146791">
      <w:bodyDiv w:val="1"/>
      <w:marLeft w:val="0"/>
      <w:marRight w:val="0"/>
      <w:marTop w:val="0"/>
      <w:marBottom w:val="0"/>
      <w:divBdr>
        <w:top w:val="none" w:sz="0" w:space="0" w:color="auto"/>
        <w:left w:val="none" w:sz="0" w:space="0" w:color="auto"/>
        <w:bottom w:val="none" w:sz="0" w:space="0" w:color="auto"/>
        <w:right w:val="none" w:sz="0" w:space="0" w:color="auto"/>
      </w:divBdr>
    </w:div>
    <w:div w:id="1064791538">
      <w:bodyDiv w:val="1"/>
      <w:marLeft w:val="0"/>
      <w:marRight w:val="0"/>
      <w:marTop w:val="0"/>
      <w:marBottom w:val="0"/>
      <w:divBdr>
        <w:top w:val="none" w:sz="0" w:space="0" w:color="auto"/>
        <w:left w:val="none" w:sz="0" w:space="0" w:color="auto"/>
        <w:bottom w:val="none" w:sz="0" w:space="0" w:color="auto"/>
        <w:right w:val="none" w:sz="0" w:space="0" w:color="auto"/>
      </w:divBdr>
    </w:div>
    <w:div w:id="1087577859">
      <w:bodyDiv w:val="1"/>
      <w:marLeft w:val="0"/>
      <w:marRight w:val="0"/>
      <w:marTop w:val="0"/>
      <w:marBottom w:val="0"/>
      <w:divBdr>
        <w:top w:val="none" w:sz="0" w:space="0" w:color="auto"/>
        <w:left w:val="none" w:sz="0" w:space="0" w:color="auto"/>
        <w:bottom w:val="none" w:sz="0" w:space="0" w:color="auto"/>
        <w:right w:val="none" w:sz="0" w:space="0" w:color="auto"/>
      </w:divBdr>
    </w:div>
    <w:div w:id="1168328070">
      <w:bodyDiv w:val="1"/>
      <w:marLeft w:val="0"/>
      <w:marRight w:val="0"/>
      <w:marTop w:val="0"/>
      <w:marBottom w:val="0"/>
      <w:divBdr>
        <w:top w:val="none" w:sz="0" w:space="0" w:color="auto"/>
        <w:left w:val="none" w:sz="0" w:space="0" w:color="auto"/>
        <w:bottom w:val="none" w:sz="0" w:space="0" w:color="auto"/>
        <w:right w:val="none" w:sz="0" w:space="0" w:color="auto"/>
      </w:divBdr>
    </w:div>
    <w:div w:id="1180658800">
      <w:bodyDiv w:val="1"/>
      <w:marLeft w:val="0"/>
      <w:marRight w:val="0"/>
      <w:marTop w:val="0"/>
      <w:marBottom w:val="0"/>
      <w:divBdr>
        <w:top w:val="none" w:sz="0" w:space="0" w:color="auto"/>
        <w:left w:val="none" w:sz="0" w:space="0" w:color="auto"/>
        <w:bottom w:val="none" w:sz="0" w:space="0" w:color="auto"/>
        <w:right w:val="none" w:sz="0" w:space="0" w:color="auto"/>
      </w:divBdr>
    </w:div>
    <w:div w:id="1239754274">
      <w:bodyDiv w:val="1"/>
      <w:marLeft w:val="0"/>
      <w:marRight w:val="0"/>
      <w:marTop w:val="0"/>
      <w:marBottom w:val="0"/>
      <w:divBdr>
        <w:top w:val="none" w:sz="0" w:space="0" w:color="auto"/>
        <w:left w:val="none" w:sz="0" w:space="0" w:color="auto"/>
        <w:bottom w:val="none" w:sz="0" w:space="0" w:color="auto"/>
        <w:right w:val="none" w:sz="0" w:space="0" w:color="auto"/>
      </w:divBdr>
    </w:div>
    <w:div w:id="1268611049">
      <w:bodyDiv w:val="1"/>
      <w:marLeft w:val="0"/>
      <w:marRight w:val="0"/>
      <w:marTop w:val="0"/>
      <w:marBottom w:val="0"/>
      <w:divBdr>
        <w:top w:val="none" w:sz="0" w:space="0" w:color="auto"/>
        <w:left w:val="none" w:sz="0" w:space="0" w:color="auto"/>
        <w:bottom w:val="none" w:sz="0" w:space="0" w:color="auto"/>
        <w:right w:val="none" w:sz="0" w:space="0" w:color="auto"/>
      </w:divBdr>
    </w:div>
    <w:div w:id="1284847490">
      <w:bodyDiv w:val="1"/>
      <w:marLeft w:val="0"/>
      <w:marRight w:val="0"/>
      <w:marTop w:val="0"/>
      <w:marBottom w:val="0"/>
      <w:divBdr>
        <w:top w:val="none" w:sz="0" w:space="0" w:color="auto"/>
        <w:left w:val="none" w:sz="0" w:space="0" w:color="auto"/>
        <w:bottom w:val="none" w:sz="0" w:space="0" w:color="auto"/>
        <w:right w:val="none" w:sz="0" w:space="0" w:color="auto"/>
      </w:divBdr>
    </w:div>
    <w:div w:id="1309899355">
      <w:bodyDiv w:val="1"/>
      <w:marLeft w:val="0"/>
      <w:marRight w:val="0"/>
      <w:marTop w:val="0"/>
      <w:marBottom w:val="0"/>
      <w:divBdr>
        <w:top w:val="none" w:sz="0" w:space="0" w:color="auto"/>
        <w:left w:val="none" w:sz="0" w:space="0" w:color="auto"/>
        <w:bottom w:val="none" w:sz="0" w:space="0" w:color="auto"/>
        <w:right w:val="none" w:sz="0" w:space="0" w:color="auto"/>
      </w:divBdr>
    </w:div>
    <w:div w:id="1483541360">
      <w:bodyDiv w:val="1"/>
      <w:marLeft w:val="0"/>
      <w:marRight w:val="0"/>
      <w:marTop w:val="0"/>
      <w:marBottom w:val="0"/>
      <w:divBdr>
        <w:top w:val="none" w:sz="0" w:space="0" w:color="auto"/>
        <w:left w:val="none" w:sz="0" w:space="0" w:color="auto"/>
        <w:bottom w:val="none" w:sz="0" w:space="0" w:color="auto"/>
        <w:right w:val="none" w:sz="0" w:space="0" w:color="auto"/>
      </w:divBdr>
    </w:div>
    <w:div w:id="1536428550">
      <w:bodyDiv w:val="1"/>
      <w:marLeft w:val="0"/>
      <w:marRight w:val="0"/>
      <w:marTop w:val="0"/>
      <w:marBottom w:val="0"/>
      <w:divBdr>
        <w:top w:val="none" w:sz="0" w:space="0" w:color="auto"/>
        <w:left w:val="none" w:sz="0" w:space="0" w:color="auto"/>
        <w:bottom w:val="none" w:sz="0" w:space="0" w:color="auto"/>
        <w:right w:val="none" w:sz="0" w:space="0" w:color="auto"/>
      </w:divBdr>
    </w:div>
    <w:div w:id="1547913127">
      <w:bodyDiv w:val="1"/>
      <w:marLeft w:val="0"/>
      <w:marRight w:val="0"/>
      <w:marTop w:val="0"/>
      <w:marBottom w:val="0"/>
      <w:divBdr>
        <w:top w:val="none" w:sz="0" w:space="0" w:color="auto"/>
        <w:left w:val="none" w:sz="0" w:space="0" w:color="auto"/>
        <w:bottom w:val="none" w:sz="0" w:space="0" w:color="auto"/>
        <w:right w:val="none" w:sz="0" w:space="0" w:color="auto"/>
      </w:divBdr>
    </w:div>
    <w:div w:id="1552958309">
      <w:bodyDiv w:val="1"/>
      <w:marLeft w:val="0"/>
      <w:marRight w:val="0"/>
      <w:marTop w:val="0"/>
      <w:marBottom w:val="0"/>
      <w:divBdr>
        <w:top w:val="none" w:sz="0" w:space="0" w:color="auto"/>
        <w:left w:val="none" w:sz="0" w:space="0" w:color="auto"/>
        <w:bottom w:val="none" w:sz="0" w:space="0" w:color="auto"/>
        <w:right w:val="none" w:sz="0" w:space="0" w:color="auto"/>
      </w:divBdr>
    </w:div>
    <w:div w:id="1579822189">
      <w:bodyDiv w:val="1"/>
      <w:marLeft w:val="0"/>
      <w:marRight w:val="0"/>
      <w:marTop w:val="0"/>
      <w:marBottom w:val="0"/>
      <w:divBdr>
        <w:top w:val="none" w:sz="0" w:space="0" w:color="auto"/>
        <w:left w:val="none" w:sz="0" w:space="0" w:color="auto"/>
        <w:bottom w:val="none" w:sz="0" w:space="0" w:color="auto"/>
        <w:right w:val="none" w:sz="0" w:space="0" w:color="auto"/>
      </w:divBdr>
    </w:div>
    <w:div w:id="1645042097">
      <w:bodyDiv w:val="1"/>
      <w:marLeft w:val="0"/>
      <w:marRight w:val="0"/>
      <w:marTop w:val="0"/>
      <w:marBottom w:val="0"/>
      <w:divBdr>
        <w:top w:val="none" w:sz="0" w:space="0" w:color="auto"/>
        <w:left w:val="none" w:sz="0" w:space="0" w:color="auto"/>
        <w:bottom w:val="none" w:sz="0" w:space="0" w:color="auto"/>
        <w:right w:val="none" w:sz="0" w:space="0" w:color="auto"/>
      </w:divBdr>
    </w:div>
    <w:div w:id="1664310770">
      <w:bodyDiv w:val="1"/>
      <w:marLeft w:val="0"/>
      <w:marRight w:val="0"/>
      <w:marTop w:val="0"/>
      <w:marBottom w:val="0"/>
      <w:divBdr>
        <w:top w:val="none" w:sz="0" w:space="0" w:color="auto"/>
        <w:left w:val="none" w:sz="0" w:space="0" w:color="auto"/>
        <w:bottom w:val="none" w:sz="0" w:space="0" w:color="auto"/>
        <w:right w:val="none" w:sz="0" w:space="0" w:color="auto"/>
      </w:divBdr>
    </w:div>
    <w:div w:id="1673482497">
      <w:bodyDiv w:val="1"/>
      <w:marLeft w:val="0"/>
      <w:marRight w:val="0"/>
      <w:marTop w:val="0"/>
      <w:marBottom w:val="0"/>
      <w:divBdr>
        <w:top w:val="none" w:sz="0" w:space="0" w:color="auto"/>
        <w:left w:val="none" w:sz="0" w:space="0" w:color="auto"/>
        <w:bottom w:val="none" w:sz="0" w:space="0" w:color="auto"/>
        <w:right w:val="none" w:sz="0" w:space="0" w:color="auto"/>
      </w:divBdr>
    </w:div>
    <w:div w:id="1775175351">
      <w:bodyDiv w:val="1"/>
      <w:marLeft w:val="0"/>
      <w:marRight w:val="0"/>
      <w:marTop w:val="0"/>
      <w:marBottom w:val="0"/>
      <w:divBdr>
        <w:top w:val="none" w:sz="0" w:space="0" w:color="auto"/>
        <w:left w:val="none" w:sz="0" w:space="0" w:color="auto"/>
        <w:bottom w:val="none" w:sz="0" w:space="0" w:color="auto"/>
        <w:right w:val="none" w:sz="0" w:space="0" w:color="auto"/>
      </w:divBdr>
    </w:div>
    <w:div w:id="1918783479">
      <w:bodyDiv w:val="1"/>
      <w:marLeft w:val="0"/>
      <w:marRight w:val="0"/>
      <w:marTop w:val="0"/>
      <w:marBottom w:val="0"/>
      <w:divBdr>
        <w:top w:val="none" w:sz="0" w:space="0" w:color="auto"/>
        <w:left w:val="none" w:sz="0" w:space="0" w:color="auto"/>
        <w:bottom w:val="none" w:sz="0" w:space="0" w:color="auto"/>
        <w:right w:val="none" w:sz="0" w:space="0" w:color="auto"/>
      </w:divBdr>
    </w:div>
    <w:div w:id="1936858700">
      <w:bodyDiv w:val="1"/>
      <w:marLeft w:val="0"/>
      <w:marRight w:val="0"/>
      <w:marTop w:val="0"/>
      <w:marBottom w:val="0"/>
      <w:divBdr>
        <w:top w:val="none" w:sz="0" w:space="0" w:color="auto"/>
        <w:left w:val="none" w:sz="0" w:space="0" w:color="auto"/>
        <w:bottom w:val="none" w:sz="0" w:space="0" w:color="auto"/>
        <w:right w:val="none" w:sz="0" w:space="0" w:color="auto"/>
      </w:divBdr>
    </w:div>
    <w:div w:id="1949582859">
      <w:bodyDiv w:val="1"/>
      <w:marLeft w:val="0"/>
      <w:marRight w:val="0"/>
      <w:marTop w:val="0"/>
      <w:marBottom w:val="0"/>
      <w:divBdr>
        <w:top w:val="none" w:sz="0" w:space="0" w:color="auto"/>
        <w:left w:val="none" w:sz="0" w:space="0" w:color="auto"/>
        <w:bottom w:val="none" w:sz="0" w:space="0" w:color="auto"/>
        <w:right w:val="none" w:sz="0" w:space="0" w:color="auto"/>
      </w:divBdr>
    </w:div>
    <w:div w:id="2019842918">
      <w:bodyDiv w:val="1"/>
      <w:marLeft w:val="0"/>
      <w:marRight w:val="0"/>
      <w:marTop w:val="0"/>
      <w:marBottom w:val="0"/>
      <w:divBdr>
        <w:top w:val="none" w:sz="0" w:space="0" w:color="auto"/>
        <w:left w:val="none" w:sz="0" w:space="0" w:color="auto"/>
        <w:bottom w:val="none" w:sz="0" w:space="0" w:color="auto"/>
        <w:right w:val="none" w:sz="0" w:space="0" w:color="auto"/>
      </w:divBdr>
    </w:div>
    <w:div w:id="20454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598&amp;Mode=0" TargetMode="External"/><Relationship Id="rId18" Type="http://schemas.openxmlformats.org/officeDocument/2006/relationships/hyperlink" Target="https://www.rbi.org.in/Scripts/NotificationUser.aspx?Id=12598&amp;Mode=0" TargetMode="External"/><Relationship Id="rId26" Type="http://schemas.openxmlformats.org/officeDocument/2006/relationships/hyperlink" Target="https://www.rbi.org.in/Scripts/NotificationUser.aspx?Id=12620&amp;Mode=0" TargetMode="External"/><Relationship Id="rId39" Type="http://schemas.openxmlformats.org/officeDocument/2006/relationships/hyperlink" Target="https://mastercirculars.rbi.org.in/" TargetMode="External"/><Relationship Id="rId21" Type="http://schemas.openxmlformats.org/officeDocument/2006/relationships/hyperlink" Target="https://www.rbi.org.in/Scripts/NotificationUser.aspx?Id=12619&amp;Mode=0" TargetMode="External"/><Relationship Id="rId34" Type="http://schemas.openxmlformats.org/officeDocument/2006/relationships/hyperlink" Target="https://www.rbi.org.in/Scripts/NotificationUser.aspx?Id=12650&amp;Mode=0" TargetMode="External"/><Relationship Id="rId42" Type="http://schemas.openxmlformats.org/officeDocument/2006/relationships/hyperlink" Target="https://www.rbi.org.in/Scripts/NotificationUser.aspx?Id=12653&amp;Mode=0" TargetMode="External"/><Relationship Id="rId47" Type="http://schemas.openxmlformats.org/officeDocument/2006/relationships/hyperlink" Target="https://www.rbi.org.in/Scripts/BS_ViewMasDirections.aspx?id=10295" TargetMode="External"/><Relationship Id="rId50" Type="http://schemas.openxmlformats.org/officeDocument/2006/relationships/hyperlink" Target="https://rbidocs.rbi.org.in/rdocs/content/pdfs/CIRCULARKFS1504242_B.pdf" TargetMode="External"/><Relationship Id="rId55" Type="http://schemas.openxmlformats.org/officeDocument/2006/relationships/hyperlink" Target="https://www.rbi.org.in/Scripts/NotificationUser.aspx?Id=9508&amp;Mode=0" TargetMode="External"/><Relationship Id="rId63" Type="http://schemas.openxmlformats.org/officeDocument/2006/relationships/hyperlink" Target="https://www.rbi.org.in/Scripts/NotificationUser.aspx?Id=12678&amp;Mode=0" TargetMode="External"/><Relationship Id="rId68" Type="http://schemas.openxmlformats.org/officeDocument/2006/relationships/hyperlink" Target="https://www.rbi.org.in/Scripts/NotificationUser.aspx?Id=11723&amp;Mode=0" TargetMode="External"/><Relationship Id="rId7" Type="http://schemas.openxmlformats.org/officeDocument/2006/relationships/hyperlink" Target="https://www.rbi.org.in/Scripts/BS_ViewMasDirections.aspx?id=11566" TargetMode="External"/><Relationship Id="rId71" Type="http://schemas.openxmlformats.org/officeDocument/2006/relationships/hyperlink" Target="https://www.rbi.org.in/Scripts/NotificationUser.aspx?Id=12690&amp;Mode=0" TargetMode="External"/><Relationship Id="rId2" Type="http://schemas.openxmlformats.org/officeDocument/2006/relationships/styles" Target="styles.xml"/><Relationship Id="rId16" Type="http://schemas.openxmlformats.org/officeDocument/2006/relationships/hyperlink" Target="https://www.rbi.org.in/Scripts/NotificationUser.aspx?Id=12598&amp;Mode=0" TargetMode="External"/><Relationship Id="rId29" Type="http://schemas.openxmlformats.org/officeDocument/2006/relationships/hyperlink" Target="https://www.rbi.org.in/Scripts/NotificationUser.aspx?Id=12646&amp;Mode=0" TargetMode="External"/><Relationship Id="rId11" Type="http://schemas.openxmlformats.org/officeDocument/2006/relationships/hyperlink" Target="https://www.rbi.org.in/Scripts/BS_ViewMasDirections.aspx?id=12030" TargetMode="External"/><Relationship Id="rId24" Type="http://schemas.openxmlformats.org/officeDocument/2006/relationships/hyperlink" Target="https://www.rbi.org.in/Scripts/FAQDisplay.aspx?Id=167" TargetMode="External"/><Relationship Id="rId32" Type="http://schemas.openxmlformats.org/officeDocument/2006/relationships/hyperlink" Target="https://www.rbi.org.in/Scripts/NotificationUser.aspx?Id=12648&amp;Mode=0" TargetMode="External"/><Relationship Id="rId37" Type="http://schemas.openxmlformats.org/officeDocument/2006/relationships/hyperlink" Target="https://www.rbi.org.in/Scripts/BS_ViewMasCirculardetails.aspx?id=12474" TargetMode="External"/><Relationship Id="rId40" Type="http://schemas.openxmlformats.org/officeDocument/2006/relationships/hyperlink" Target="https://www.rbi.org.in/Scripts/NotificationUser.aspx?Id=12651&amp;Mode=0" TargetMode="External"/><Relationship Id="rId45" Type="http://schemas.openxmlformats.org/officeDocument/2006/relationships/hyperlink" Target="https://www.rbi.org.in/Scripts/NotificationUser.aspx?Id=12382&amp;Mode=0" TargetMode="External"/><Relationship Id="rId53" Type="http://schemas.openxmlformats.org/officeDocument/2006/relationships/hyperlink" Target="https://www.rbi.org.in/Scripts/BS_ViewMasDirections.aspx?id=12256" TargetMode="External"/><Relationship Id="rId58" Type="http://schemas.openxmlformats.org/officeDocument/2006/relationships/hyperlink" Target="https://www.rbi.org.in/Scripts/NotificationUser.aspx?Id=12663&amp;Mode=0" TargetMode="External"/><Relationship Id="rId66" Type="http://schemas.openxmlformats.org/officeDocument/2006/relationships/hyperlink" Target="https://www.rbi.org.in/Scripts/BS_FemaNotifications.aspx?Id=12097" TargetMode="External"/><Relationship Id="rId74" Type="http://schemas.openxmlformats.org/officeDocument/2006/relationships/theme" Target="theme/theme1.xml"/><Relationship Id="rId5" Type="http://schemas.openxmlformats.org/officeDocument/2006/relationships/hyperlink" Target="https://www.rbi.org.in/Scripts/NotificationUser.aspx?Id=12589&amp;Mode=0" TargetMode="External"/><Relationship Id="rId15" Type="http://schemas.openxmlformats.org/officeDocument/2006/relationships/hyperlink" Target="https://www.rbi.org.in/Scripts/NotificationUser.aspx?Id=12384&amp;Mode=0" TargetMode="External"/><Relationship Id="rId23" Type="http://schemas.openxmlformats.org/officeDocument/2006/relationships/hyperlink" Target="https://www.rbi.org.in/Scripts/NotificationUser.aspx?Id=12620&amp;Mode=0" TargetMode="External"/><Relationship Id="rId28" Type="http://schemas.openxmlformats.org/officeDocument/2006/relationships/hyperlink" Target="https://www.rbi.org.in/Scripts/NotificationUser.aspx?Id=12645&amp;Mode=0" TargetMode="External"/><Relationship Id="rId36" Type="http://schemas.openxmlformats.org/officeDocument/2006/relationships/hyperlink" Target="https://www.rbi.org.in/Scripts/NotificationUser.aspx?Id=12650&amp;Mode=0" TargetMode="External"/><Relationship Id="rId49" Type="http://schemas.openxmlformats.org/officeDocument/2006/relationships/hyperlink" Target="https://www.rbi.org.in/Scripts/NotificationUser.aspx?Id=12663&amp;Mode=0" TargetMode="External"/><Relationship Id="rId57" Type="http://schemas.openxmlformats.org/officeDocument/2006/relationships/hyperlink" Target="https://www.rbi.org.in/Scripts/NotificationUser.aspx?Id=12382&amp;Mode=0" TargetMode="External"/><Relationship Id="rId61" Type="http://schemas.openxmlformats.org/officeDocument/2006/relationships/hyperlink" Target="https://www.rbi.org.in/scripts/FS_Notification.aspx?Id=12439&amp;fn=2&amp;Mode=0" TargetMode="External"/><Relationship Id="rId10" Type="http://schemas.openxmlformats.org/officeDocument/2006/relationships/hyperlink" Target="https://www.rbi.org.in/Scripts/BS_ViewMasDirections.aspx?id=12550" TargetMode="External"/><Relationship Id="rId19" Type="http://schemas.openxmlformats.org/officeDocument/2006/relationships/hyperlink" Target="https://rbi.org.in/Scripts/BS_ViewMasDirections.aspx?id=12156" TargetMode="External"/><Relationship Id="rId31" Type="http://schemas.openxmlformats.org/officeDocument/2006/relationships/hyperlink" Target="https://www.rbi.org.in/Scripts/NotificationUser.aspx?Id=12648&amp;Mode=0" TargetMode="External"/><Relationship Id="rId44" Type="http://schemas.openxmlformats.org/officeDocument/2006/relationships/hyperlink" Target="https://www.rbi.org.in/Scripts/BS_ViewMasDirections.aspx?id=12256" TargetMode="External"/><Relationship Id="rId52" Type="http://schemas.openxmlformats.org/officeDocument/2006/relationships/hyperlink" Target="https://www.rbi.org.in/Scripts/NotificationUser.aspx?Id=12382&amp;Mode=0" TargetMode="External"/><Relationship Id="rId60" Type="http://schemas.openxmlformats.org/officeDocument/2006/relationships/hyperlink" Target="https://www.rbi.org.in/scripts/bs_viewcontent.aspx?Id=3220" TargetMode="External"/><Relationship Id="rId65" Type="http://schemas.openxmlformats.org/officeDocument/2006/relationships/hyperlink" Target="https://rbidocs.rbi.org.in/rdocs/content/pdfs/Gazette10052024.pd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NotificationUser.aspx?Id=12593&amp;Mode=0" TargetMode="External"/><Relationship Id="rId14" Type="http://schemas.openxmlformats.org/officeDocument/2006/relationships/hyperlink" Target="https://www.rbi.org.in/Scripts/NotificationUser.aspx?Id=12598&amp;Mode=0" TargetMode="External"/><Relationship Id="rId22" Type="http://schemas.openxmlformats.org/officeDocument/2006/relationships/hyperlink" Target="https://www.rbi.org.in/Scripts/BS_ViewMasDirections.aspx?id=12300" TargetMode="External"/><Relationship Id="rId27" Type="http://schemas.openxmlformats.org/officeDocument/2006/relationships/hyperlink" Target="https://www.rbi.org.in/Scripts/NotificationUser.aspx?Id=12645&amp;Mode=0" TargetMode="External"/><Relationship Id="rId30" Type="http://schemas.openxmlformats.org/officeDocument/2006/relationships/hyperlink" Target="https://www.rbi.org.in/Scripts/NotificationUser.aspx?Id=12646&amp;Mode=0" TargetMode="External"/><Relationship Id="rId35" Type="http://schemas.openxmlformats.org/officeDocument/2006/relationships/hyperlink" Target="https://mastercirculars.rbi.org.in/" TargetMode="External"/><Relationship Id="rId43" Type="http://schemas.openxmlformats.org/officeDocument/2006/relationships/hyperlink" Target="https://www.rbi.org.in/Scripts/NotificationUser.aspx?Id=9508&amp;Mode=0" TargetMode="External"/><Relationship Id="rId48" Type="http://schemas.openxmlformats.org/officeDocument/2006/relationships/hyperlink" Target="https://rbidocs.rbi.org.in/rdocs/content/pdfs/CIRCULARKFS1504242_A.pdf" TargetMode="External"/><Relationship Id="rId56" Type="http://schemas.openxmlformats.org/officeDocument/2006/relationships/hyperlink" Target="https://www.rbi.org.in/Scripts/BS_ViewMasDirections.aspx?id=12256" TargetMode="External"/><Relationship Id="rId64" Type="http://schemas.openxmlformats.org/officeDocument/2006/relationships/hyperlink" Target="https://www.rbi.org.in/Scripts/NotificationUser.aspx?Id=10325&amp;Mode=0" TargetMode="External"/><Relationship Id="rId69" Type="http://schemas.openxmlformats.org/officeDocument/2006/relationships/hyperlink" Target="https://www.rbi.org.in/Scripts/NotificationUser.aspx?Id=12686&amp;Mode=0" TargetMode="External"/><Relationship Id="rId8" Type="http://schemas.openxmlformats.org/officeDocument/2006/relationships/hyperlink" Target="https://www.rbi.org.in/Scripts/BS_ViewMasDirections.aspx?id=11566" TargetMode="External"/><Relationship Id="rId51" Type="http://schemas.openxmlformats.org/officeDocument/2006/relationships/hyperlink" Target="https://rbidocs.rbi.org.in/rdocs/content/pdfs/CIRCULARKFS1504242_C.pdf" TargetMode="External"/><Relationship Id="rId72" Type="http://schemas.openxmlformats.org/officeDocument/2006/relationships/hyperlink" Target="https://www.rbi.org.in/Scripts/NotificationUser.aspx?Id=12690&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179&amp;Mode=0" TargetMode="External"/><Relationship Id="rId17" Type="http://schemas.openxmlformats.org/officeDocument/2006/relationships/hyperlink" Target="https://www.rbi.org.in/Scripts/NotificationUser.aspx?Id=12598&amp;Mode=0" TargetMode="External"/><Relationship Id="rId25" Type="http://schemas.openxmlformats.org/officeDocument/2006/relationships/hyperlink" Target="https://www.rbi.org.in/Scripts/FAQDisplay.aspx" TargetMode="External"/><Relationship Id="rId33" Type="http://schemas.openxmlformats.org/officeDocument/2006/relationships/hyperlink" Target="https://www.rbi.org.in/Scripts/BS_ViewMasCirculardetails.aspx?id=12477" TargetMode="External"/><Relationship Id="rId38" Type="http://schemas.openxmlformats.org/officeDocument/2006/relationships/hyperlink" Target="https://www.rbi.org.in/Scripts/NotificationUser.aspx?Id=12651&amp;Mode=0" TargetMode="External"/><Relationship Id="rId46" Type="http://schemas.openxmlformats.org/officeDocument/2006/relationships/hyperlink" Target="https://www.rbi.org.in/Scripts/BS_PressReleaseDisplay.aspx?prid=57276" TargetMode="External"/><Relationship Id="rId59" Type="http://schemas.openxmlformats.org/officeDocument/2006/relationships/hyperlink" Target="https://www.rbi.org.in/scripts/bs_viewcontent.aspx?Id=3797" TargetMode="External"/><Relationship Id="rId67" Type="http://schemas.openxmlformats.org/officeDocument/2006/relationships/hyperlink" Target="https://www.rbi.org.in/Scripts/NotificationUser.aspx?Id=12684&amp;Mode=0" TargetMode="External"/><Relationship Id="rId20" Type="http://schemas.openxmlformats.org/officeDocument/2006/relationships/hyperlink" Target="https://www.rbi.org.in/Scripts/NotificationUser.aspx?Id=12612&amp;Mode=0" TargetMode="External"/><Relationship Id="rId41" Type="http://schemas.openxmlformats.org/officeDocument/2006/relationships/hyperlink" Target="https://www.rbi.org.in/Scripts/NotificationUser.aspx?Id=12653&amp;Mode=0" TargetMode="External"/><Relationship Id="rId54" Type="http://schemas.openxmlformats.org/officeDocument/2006/relationships/hyperlink" Target="https://www.rbi.org.in/Scripts/NotificationUser.aspx?Id=9508&amp;Mode=0" TargetMode="External"/><Relationship Id="rId62" Type="http://schemas.openxmlformats.org/officeDocument/2006/relationships/hyperlink" Target="https://www.rbi.org.in/Scripts/NotificationUser.aspx?Id=12676&amp;Mode=0" TargetMode="External"/><Relationship Id="rId70" Type="http://schemas.openxmlformats.org/officeDocument/2006/relationships/hyperlink" Target="https://www.rbi.org.in/Scripts/BS_ViewMasDirections.aspx?id=10296" TargetMode="External"/><Relationship Id="rId1" Type="http://schemas.openxmlformats.org/officeDocument/2006/relationships/numbering" Target="numbering.xml"/><Relationship Id="rId6" Type="http://schemas.openxmlformats.org/officeDocument/2006/relationships/hyperlink" Target="https://www.rbi.org.in/Scripts/NotificationUser.aspx?Id=1258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23</Pages>
  <Words>7074</Words>
  <Characters>40327</Characters>
  <Application>Microsoft Office Word</Application>
  <DocSecurity>0</DocSecurity>
  <Lines>336</Lines>
  <Paragraphs>94</Paragraphs>
  <ScaleCrop>false</ScaleCrop>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29</cp:revision>
  <dcterms:created xsi:type="dcterms:W3CDTF">2024-08-19T11:06:00Z</dcterms:created>
  <dcterms:modified xsi:type="dcterms:W3CDTF">2024-08-19T12:00:00Z</dcterms:modified>
</cp:coreProperties>
</file>